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D37" w:rsidRDefault="000D1944" w:rsidP="00894529">
      <w:pPr>
        <w:pStyle w:val="Nmeringsskjalsmls"/>
      </w:pPr>
      <w:r w:rsidRPr="000D1944">
        <w:t xml:space="preserve">Þingskjal </w:t>
      </w:r>
      <w:r>
        <w:t>1110</w:t>
      </w:r>
      <w:r w:rsidRPr="000D1944">
        <w:t xml:space="preserve"> — </w:t>
      </w:r>
      <w:r>
        <w:t>682</w:t>
      </w:r>
      <w:r w:rsidRPr="000D1944">
        <w:t>. mál.</w:t>
      </w:r>
    </w:p>
    <w:p w:rsidR="00707D37" w:rsidRDefault="003C2AF8" w:rsidP="00D726F0">
      <w:pPr>
        <w:pStyle w:val="Fyrirsgn-skjalategund"/>
      </w:pPr>
      <w:r>
        <w:t>Tillaga til þingsályktunar</w:t>
      </w:r>
    </w:p>
    <w:p w:rsidR="00707D37" w:rsidRDefault="00895423" w:rsidP="00C4687B">
      <w:pPr>
        <w:pStyle w:val="Fyrirsgn-undirfyrirsgn"/>
      </w:pPr>
      <w:r>
        <w:t xml:space="preserve">um </w:t>
      </w:r>
      <w:r w:rsidR="00540391" w:rsidRPr="00540391">
        <w:t xml:space="preserve">staðfestingu ákvörðunar sameiginlegu EES-nefndarinnar nr. 293/2015 um breytingu á </w:t>
      </w:r>
      <w:r w:rsidR="00C4687B">
        <w:t>XX</w:t>
      </w:r>
      <w:r w:rsidR="00540391" w:rsidRPr="00540391">
        <w:t>II. viðauka (</w:t>
      </w:r>
      <w:r w:rsidR="00C4687B">
        <w:t>Félagaréttur</w:t>
      </w:r>
      <w:r w:rsidR="00540391" w:rsidRPr="00540391">
        <w:t>) við EES-samninginn</w:t>
      </w:r>
      <w:r w:rsidR="00540391">
        <w:t>.</w:t>
      </w:r>
    </w:p>
    <w:p w:rsidR="00707D37" w:rsidRDefault="00707D37" w:rsidP="00D726F0"/>
    <w:p w:rsidR="00707D37" w:rsidRDefault="00707D37" w:rsidP="00D726F0">
      <w:pPr>
        <w:pStyle w:val="Normalmija"/>
      </w:pPr>
      <w:r>
        <w:t>(</w:t>
      </w:r>
      <w:r w:rsidR="0049606B">
        <w:t>L</w:t>
      </w:r>
      <w:r w:rsidR="00B73906">
        <w:t>ögð</w:t>
      </w:r>
      <w:r w:rsidR="0049606B">
        <w:t xml:space="preserve"> fyrir Alþingi á 14</w:t>
      </w:r>
      <w:r w:rsidR="009B4E70">
        <w:t>5</w:t>
      </w:r>
      <w:r w:rsidRPr="00707D37">
        <w:t>. löggjafarþingi 201</w:t>
      </w:r>
      <w:r w:rsidR="009B4E70">
        <w:t>5</w:t>
      </w:r>
      <w:r w:rsidR="00A57876">
        <w:t>–</w:t>
      </w:r>
      <w:r w:rsidR="005B523F">
        <w:t>201</w:t>
      </w:r>
      <w:r w:rsidR="009B4E70">
        <w:t>6</w:t>
      </w:r>
      <w:r w:rsidRPr="00707D37">
        <w:t>.)</w:t>
      </w:r>
    </w:p>
    <w:p w:rsidR="00707D37" w:rsidRDefault="00707D37" w:rsidP="00D726F0">
      <w:pPr>
        <w:pStyle w:val="Strik"/>
      </w:pPr>
    </w:p>
    <w:p w:rsidR="00707D37" w:rsidRDefault="00707D37" w:rsidP="00D726F0"/>
    <w:p w:rsidR="00707D37" w:rsidRDefault="00707D37" w:rsidP="00D726F0"/>
    <w:p w:rsidR="000D5EBC" w:rsidRDefault="00540391" w:rsidP="00D726F0">
      <w:r w:rsidRPr="00540391">
        <w:t>Alþingi ályktar að heimila ríkisstjórninni að staðfesta fyrir Íslands hönd ákvörðun sam</w:t>
      </w:r>
      <w:r w:rsidR="008F343C">
        <w:softHyphen/>
      </w:r>
      <w:r w:rsidRPr="00540391">
        <w:t>eiginlegu EES-nefndarinnar nr. 293/2015, frá 30. október 2015, um breytingu á XXII. við</w:t>
      </w:r>
      <w:r w:rsidR="008F343C">
        <w:softHyphen/>
      </w:r>
      <w:r w:rsidRPr="00540391">
        <w:t>auka (Félagaréttur) við EES-samninginn frá 2. maí 1992, og fella inn í samninginn tilskipun Evrópuþingsins og ráðsins 2013/34/ESB frá 26. júní 2013 um árleg reikningsskil, samstæðu</w:t>
      </w:r>
      <w:r w:rsidR="008F343C">
        <w:softHyphen/>
      </w:r>
      <w:r w:rsidRPr="00540391">
        <w:t>reikningsskil og tilheyrandi skýrslur tiltekinna tegunda fyrirtækja, um breytingu á tilskipun Evrópuþingsins og ráðsins 2006/43/EB og niðurfellingu tilskipana ráðsins 78/660/EBE og 83/349/EBE</w:t>
      </w:r>
      <w:r w:rsidR="000D5EBC">
        <w:t xml:space="preserve">. </w:t>
      </w:r>
    </w:p>
    <w:p w:rsidR="000D5EBC" w:rsidRDefault="000D5EBC" w:rsidP="00D726F0"/>
    <w:p w:rsidR="000D5EBC" w:rsidRDefault="000D5EBC" w:rsidP="00D726F0">
      <w:pPr>
        <w:pStyle w:val="Fyrirsgn-athugasemdir"/>
      </w:pPr>
      <w:r>
        <w:t>Athugasemdir við þingsályktunartillögu þessa.</w:t>
      </w:r>
    </w:p>
    <w:p w:rsidR="00540391" w:rsidRDefault="00540391" w:rsidP="00540391">
      <w:pPr>
        <w:pStyle w:val="Millifyrirsgn1"/>
      </w:pPr>
      <w:r>
        <w:t>1. Inngangur.</w:t>
      </w:r>
    </w:p>
    <w:p w:rsidR="00540391" w:rsidRDefault="00540391" w:rsidP="00540391">
      <w:r>
        <w:t>Með þingsályktunartillögu þessari er leitað heimildar Alþingis til staðfestingar á ákvörð</w:t>
      </w:r>
      <w:r w:rsidR="00D41373">
        <w:softHyphen/>
      </w:r>
      <w:r>
        <w:t xml:space="preserve">un sameiginlegu EES-nefndarinnar nr. 293/2015, frá 30. október 2015, um breytingu á II. viðauka (Tæknilegar reglugerðir, staðlar, prófanir og vottun) við EES-samninginn frá 2. maí 1992, og </w:t>
      </w:r>
      <w:r w:rsidR="00CA4C54">
        <w:t xml:space="preserve">til að </w:t>
      </w:r>
      <w:r>
        <w:t>fella inn í samninginn tilskipun Evrópuþingsins og ráðsins 2013/34/ESB frá 26. júní 2013 um árleg reikningsskil, samstæðureikningsskil og tilheyrandi skýrslur til</w:t>
      </w:r>
      <w:r w:rsidR="00E63B97">
        <w:softHyphen/>
      </w:r>
      <w:r>
        <w:t>tekinna tegunda fyrirtækja, um breytingu á tilskipun Evrópuþingsins og ráðsins 2006/43/EB og niðurfellingu tilskipana ráðsins 78/660/EBE og 83/349/EBE.</w:t>
      </w:r>
    </w:p>
    <w:p w:rsidR="00540391" w:rsidRDefault="00540391" w:rsidP="00540391">
      <w:r>
        <w:t xml:space="preserve">Tilskipun Evrópuþingsins og ráðsins 2013/34/ESB kveður einkum á um ársreikninga og samstæðureikninga félaga af tiltekinni gerð. </w:t>
      </w:r>
    </w:p>
    <w:p w:rsidR="00540391" w:rsidRDefault="00540391" w:rsidP="00540391">
      <w:r>
        <w:t xml:space="preserve">Í tillögu þessari er gerð grein fyrir efni gerðarinnar sem um ræðir, en hún felur ekki í sér breytingar á þeim meginreglum sem í EES-samningnum felast. Ákvörðun sameiginlegu EES-nefndarinnar sem hér um ræðir er fylgiskjal með tillögu þessari ásamt gerðinni sjálfri. </w:t>
      </w:r>
    </w:p>
    <w:p w:rsidR="00540391" w:rsidRDefault="00540391" w:rsidP="00540391"/>
    <w:p w:rsidR="00540391" w:rsidRDefault="00C4687B" w:rsidP="00540391">
      <w:pPr>
        <w:pStyle w:val="Millifyrirsgn1"/>
      </w:pPr>
      <w:r>
        <w:t xml:space="preserve">2. </w:t>
      </w:r>
      <w:r w:rsidR="00540391">
        <w:t>Um stjórnskipulegan fyrirvara.</w:t>
      </w:r>
    </w:p>
    <w:p w:rsidR="00540391" w:rsidRDefault="00540391" w:rsidP="00540391">
      <w:r>
        <w:t>Samkvæmt EES-samningnum skuldbinda ákvarðanir sameiginlegu EES-nefndarinnar aðildarríkin að þjóðarétti um leið og þær hafa verið teknar, nema eitthvert þeirra beiti heim</w:t>
      </w:r>
      <w:r w:rsidR="00D41373">
        <w:softHyphen/>
      </w:r>
      <w:r>
        <w:t>ild í 103. gr. EES-samningsins til að setja fyrirvara um að ákvörðun geti ekki orðið bindandi strax vegna stjórnskipulegra skilyrða heima fyrir. Viðkomandi aðildarríki hefur þá sex mán</w:t>
      </w:r>
      <w:r w:rsidR="00D41373">
        <w:softHyphen/>
      </w:r>
      <w:r>
        <w:t xml:space="preserve">aða frest frá töku ákvörðunar í sameiginlegu nefndinni til að aflétta fyrirvaranum. </w:t>
      </w:r>
    </w:p>
    <w:p w:rsidR="00540391" w:rsidRDefault="00540391" w:rsidP="00540391">
      <w:r>
        <w:t xml:space="preserve">Að því er Ísland varðar hefur stjórnskipulegur fyrirvari almennt einungis verið settur þegar innleiðing ákvörðunar kallar á lagabreytingar hér landi, en í því tilviki leiðir af 21. gr. </w:t>
      </w:r>
      <w:r>
        <w:lastRenderedPageBreak/>
        <w:t>stjórnarskrárinnar að afla ber samþykkis Alþingis áður en ákvörðun er staðfest. Slíkt samþykki getur Alþingi alltaf veitt samhliða viðeigandi lagabreytingu, en jafnframt getur Alþingi heimilað stjórnvöldum að skuldbinda sig að þjóðarétti með þingsályktun áður en landsréttinum er með lögum breytt til samræmis við viðkomandi ákvörðun.</w:t>
      </w:r>
    </w:p>
    <w:p w:rsidR="00540391" w:rsidRDefault="00540391" w:rsidP="00540391">
      <w:r>
        <w:t xml:space="preserve">Áðurnefnd 21. gr. stjórnarskrárinnar tekur til gerðar </w:t>
      </w:r>
      <w:r w:rsidR="00CA4C54">
        <w:t>þjóðréttarsamninga en hún á aug</w:t>
      </w:r>
      <w:r>
        <w:t>ljóslega einnig við um þau tilvik þegar breytingar eru</w:t>
      </w:r>
      <w:r w:rsidR="00CA4C54">
        <w:t xml:space="preserve"> gerðar á slíkum samningum. Sam</w:t>
      </w:r>
      <w:r>
        <w:t xml:space="preserve">kvæmt ákvæðinu er samþykki Alþingis áskilið ef samningur felur í sér afsal eða kvaðir á landi eða landhelgi eða ef hann horfir til breytinga á stjórnarhögum ríkisins. Síðarnefnda atriðið hefur verið túlkað svo að samþykki Alþingis sé áskilið ef gerð þjóðréttarsamnings kallar á lagabreytingar hér á landi. </w:t>
      </w:r>
    </w:p>
    <w:p w:rsidR="00540391" w:rsidRDefault="00540391" w:rsidP="00540391">
      <w:r>
        <w:t>Umrædd ákvörðun sameiginlegu EES-nefndarinnar felur í sér breytingu á EES-samn</w:t>
      </w:r>
      <w:r w:rsidR="00F8611D">
        <w:softHyphen/>
      </w:r>
      <w:r>
        <w:t>ingnum en þar sem hún kallar á lagabreytingar hér á landi var hún tekin með stjórn</w:t>
      </w:r>
      <w:r w:rsidR="00E63B97">
        <w:softHyphen/>
      </w:r>
      <w:r>
        <w:t>skipu</w:t>
      </w:r>
      <w:r w:rsidR="00F8611D">
        <w:softHyphen/>
      </w:r>
      <w:r>
        <w:t>legum fyrirvara. Í samræmi við það sem að framan segir og 7. mgr. 45. gr. laga nr. 55/1991, um þingsköp Alþingis, sem kveður á um að stjórnskipulegum fyrirvara skv. 103.</w:t>
      </w:r>
      <w:r w:rsidR="00CA4C54">
        <w:t xml:space="preserve"> gr. samn</w:t>
      </w:r>
      <w:r w:rsidR="00F8611D">
        <w:softHyphen/>
      </w:r>
      <w:bookmarkStart w:id="0" w:name="_GoBack"/>
      <w:bookmarkEnd w:id="0"/>
      <w:r>
        <w:t xml:space="preserve">ingsins um Evrópska efnahagssvæðið beri að aflétta með þingsályktun, er óskað eftir samþykki Alþingis fyrir þeirri breytingu á EES-samningnum sem í ákvörðuninni felst. </w:t>
      </w:r>
    </w:p>
    <w:p w:rsidR="00540391" w:rsidRDefault="00540391" w:rsidP="00540391"/>
    <w:p w:rsidR="00540391" w:rsidRDefault="00540391" w:rsidP="00540391">
      <w:pPr>
        <w:pStyle w:val="Millifyrirsgn1"/>
      </w:pPr>
      <w:r>
        <w:t>3. Tilskipun Evrópuþingsins og ráðsins 2013/34/ESB frá 26. júní 2013 um árleg reikn</w:t>
      </w:r>
      <w:r w:rsidR="00CA4C54">
        <w:softHyphen/>
      </w:r>
      <w:r>
        <w:t xml:space="preserve">ingsskil, samstæðureikningsskil og tilheyrandi skýrslur tiltekinna tegunda fyrirtækja, um breytingu á tilskipun Evrópuþingsins og ráðsins 2006/43/EB og niðurfellingu tilskipana ráðsins 78/660/EBE og 83/349/EBE. </w:t>
      </w:r>
    </w:p>
    <w:p w:rsidR="00540391" w:rsidRDefault="00540391" w:rsidP="00540391">
      <w:r>
        <w:t>Tilskipunin fjallar um ársreikninga félaga af tiltekinni gerð og fellir úr gildi ársreikninga</w:t>
      </w:r>
      <w:r w:rsidR="00CA4C54">
        <w:softHyphen/>
      </w:r>
      <w:r>
        <w:t>tilskipun ESB til margra ára 78/660/EBE. Einnig tekur nýja tilskipunin til reglna um sam</w:t>
      </w:r>
      <w:r w:rsidR="00D41373">
        <w:softHyphen/>
      </w:r>
      <w:r>
        <w:t>stæðureikninga sem áður var að finna í tilskipun ESB 86/349/EBE. Er því komin ein til</w:t>
      </w:r>
      <w:r w:rsidR="00D41373">
        <w:softHyphen/>
      </w:r>
      <w:r>
        <w:t>skip</w:t>
      </w:r>
      <w:r w:rsidR="00D41373">
        <w:softHyphen/>
      </w:r>
      <w:r>
        <w:t>un sem fjallar um ársreikninga og samstæðureikninga félaga af tiltekinni gerð. Mark</w:t>
      </w:r>
      <w:r w:rsidR="00D41373">
        <w:softHyphen/>
      </w:r>
      <w:r>
        <w:t>miðið með tilskipuninni er m.a. að draga úr umsýslukostnaði lítilla og meðalstórra fyrir</w:t>
      </w:r>
      <w:r w:rsidR="00D41373">
        <w:softHyphen/>
      </w:r>
      <w:r>
        <w:t xml:space="preserve">tækja, bæta viðskiptaumhverfi fyrirtækja og auka gæði og samanburðarhæfni birtra upplýsinga. </w:t>
      </w:r>
    </w:p>
    <w:p w:rsidR="00540391" w:rsidRDefault="00540391" w:rsidP="00540391"/>
    <w:p w:rsidR="00540391" w:rsidRDefault="00540391" w:rsidP="00540391">
      <w:pPr>
        <w:pStyle w:val="Millifyrirsgn1"/>
      </w:pPr>
      <w:r>
        <w:t>4. Lagabreytingar og hugsanleg áhrif hér á landi.</w:t>
      </w:r>
    </w:p>
    <w:p w:rsidR="00540391" w:rsidRDefault="00540391" w:rsidP="00540391">
      <w:r>
        <w:t>Innleiðing reglugerðarinnar hér á landi kallar á breytingar á lögum nr. 3/2006</w:t>
      </w:r>
      <w:r w:rsidR="00CA4C54">
        <w:t>,</w:t>
      </w:r>
      <w:r>
        <w:t xml:space="preserve"> um ársreikninga. </w:t>
      </w:r>
      <w:r w:rsidR="00CA4C54">
        <w:t>I</w:t>
      </w:r>
      <w:r>
        <w:t xml:space="preserve">ðnaðar- og viðskiptaráðherra </w:t>
      </w:r>
      <w:r w:rsidR="00CA4C54">
        <w:t xml:space="preserve">hefur lagt </w:t>
      </w:r>
      <w:r>
        <w:t>fram frumvarp til breytinga á framan</w:t>
      </w:r>
      <w:r w:rsidR="00E63B97">
        <w:softHyphen/>
      </w:r>
      <w:r>
        <w:t xml:space="preserve">greindum lögum á yfirstandandi þingi. </w:t>
      </w:r>
    </w:p>
    <w:p w:rsidR="00540391" w:rsidRDefault="00540391" w:rsidP="00540391"/>
    <w:p w:rsidR="00540391" w:rsidRDefault="00540391" w:rsidP="00540391"/>
    <w:p w:rsidR="00540391" w:rsidRDefault="00540391" w:rsidP="00540391"/>
    <w:p w:rsidR="00540391" w:rsidRDefault="00540391" w:rsidP="00540391"/>
    <w:p w:rsidR="00540391" w:rsidRDefault="00540391" w:rsidP="00540391">
      <w:r>
        <w:t xml:space="preserve"> </w:t>
      </w:r>
    </w:p>
    <w:p w:rsidR="00B77F92" w:rsidRDefault="00B77F92">
      <w:pPr>
        <w:ind w:firstLine="0"/>
        <w:jc w:val="left"/>
        <w:rPr>
          <w:b/>
        </w:rPr>
      </w:pPr>
      <w:r>
        <w:rPr>
          <w:b/>
        </w:rPr>
        <w:br w:type="page"/>
      </w:r>
    </w:p>
    <w:p w:rsidR="00A612D0" w:rsidRPr="00481472" w:rsidRDefault="00540391" w:rsidP="00B77F92">
      <w:pPr>
        <w:ind w:firstLine="0"/>
        <w:rPr>
          <w:b/>
          <w:u w:val="single"/>
        </w:rPr>
      </w:pPr>
      <w:r w:rsidRPr="00481472">
        <w:rPr>
          <w:b/>
          <w:u w:val="single"/>
        </w:rPr>
        <w:lastRenderedPageBreak/>
        <w:t>Fylgiskjal I.</w:t>
      </w:r>
    </w:p>
    <w:p w:rsidR="00B77F92" w:rsidRDefault="00B77F92" w:rsidP="00540391"/>
    <w:p w:rsidR="00B77F92" w:rsidRPr="00B77F92" w:rsidRDefault="00B77F92" w:rsidP="00B77F92">
      <w:pPr>
        <w:ind w:left="578" w:right="578" w:firstLine="0"/>
        <w:jc w:val="center"/>
        <w:rPr>
          <w:rFonts w:eastAsia="Times New Roman"/>
          <w:b/>
          <w:szCs w:val="21"/>
          <w:lang w:eastAsia="de-DE"/>
        </w:rPr>
      </w:pPr>
      <w:r w:rsidRPr="00B77F92">
        <w:rPr>
          <w:rFonts w:eastAsia="Times New Roman"/>
          <w:b/>
          <w:szCs w:val="21"/>
          <w:lang w:eastAsia="de-DE"/>
        </w:rPr>
        <w:t>ÁKVÖRÐ</w:t>
      </w:r>
      <w:r w:rsidRPr="00B77F92">
        <w:rPr>
          <w:rFonts w:eastAsia="Times New Roman"/>
          <w:b/>
          <w:szCs w:val="21"/>
          <w:lang w:eastAsia="de-DE"/>
        </w:rPr>
        <w:softHyphen/>
        <w:t>UN SAM</w:t>
      </w:r>
      <w:r w:rsidRPr="00B77F92">
        <w:rPr>
          <w:rFonts w:eastAsia="Times New Roman"/>
          <w:b/>
          <w:szCs w:val="21"/>
          <w:lang w:eastAsia="de-DE"/>
        </w:rPr>
        <w:softHyphen/>
        <w:t>EIGIN</w:t>
      </w:r>
      <w:r w:rsidRPr="00B77F92">
        <w:rPr>
          <w:rFonts w:eastAsia="Times New Roman"/>
          <w:b/>
          <w:szCs w:val="21"/>
          <w:lang w:eastAsia="de-DE"/>
        </w:rPr>
        <w:softHyphen/>
        <w:t>LEGU EES-NEFND</w:t>
      </w:r>
      <w:r w:rsidRPr="00B77F92">
        <w:rPr>
          <w:rFonts w:eastAsia="Times New Roman"/>
          <w:b/>
          <w:szCs w:val="21"/>
          <w:lang w:eastAsia="de-DE"/>
        </w:rPr>
        <w:softHyphen/>
        <w:t>AR</w:t>
      </w:r>
      <w:r w:rsidRPr="00B77F92">
        <w:rPr>
          <w:rFonts w:eastAsia="Times New Roman"/>
          <w:b/>
          <w:szCs w:val="21"/>
          <w:lang w:eastAsia="de-DE"/>
        </w:rPr>
        <w:softHyphen/>
        <w:t>INN</w:t>
      </w:r>
      <w:r w:rsidRPr="00B77F92">
        <w:rPr>
          <w:rFonts w:eastAsia="Times New Roman"/>
          <w:b/>
          <w:szCs w:val="21"/>
          <w:lang w:eastAsia="de-DE"/>
        </w:rPr>
        <w:softHyphen/>
        <w:t xml:space="preserve">AR </w:t>
      </w:r>
      <w:r w:rsidRPr="00B77F92">
        <w:rPr>
          <w:rFonts w:eastAsia="Times New Roman"/>
          <w:b/>
          <w:szCs w:val="21"/>
          <w:lang w:eastAsia="de-DE"/>
        </w:rPr>
        <w:br/>
        <w:t>nr. 293/2015</w:t>
      </w:r>
    </w:p>
    <w:p w:rsidR="00B77F92" w:rsidRPr="00B77F92" w:rsidRDefault="00B77F92" w:rsidP="00B77F92">
      <w:pPr>
        <w:spacing w:before="120"/>
        <w:ind w:left="578" w:right="578" w:firstLine="0"/>
        <w:jc w:val="center"/>
        <w:rPr>
          <w:rFonts w:eastAsia="Times New Roman"/>
          <w:b/>
          <w:szCs w:val="21"/>
          <w:lang w:eastAsia="de-DE"/>
        </w:rPr>
      </w:pPr>
      <w:r w:rsidRPr="00B77F92">
        <w:rPr>
          <w:rFonts w:eastAsia="Times New Roman"/>
          <w:b/>
          <w:szCs w:val="21"/>
          <w:lang w:eastAsia="de-DE"/>
        </w:rPr>
        <w:t>frá 30. október 2015</w:t>
      </w:r>
    </w:p>
    <w:p w:rsidR="00B77F92" w:rsidRPr="00B77F92" w:rsidRDefault="00B77F92" w:rsidP="00B77F92">
      <w:pPr>
        <w:spacing w:before="120"/>
        <w:ind w:firstLine="0"/>
        <w:jc w:val="center"/>
        <w:rPr>
          <w:rFonts w:eastAsia="Times New Roman"/>
          <w:b/>
          <w:szCs w:val="21"/>
          <w:lang w:eastAsia="de-DE"/>
        </w:rPr>
      </w:pPr>
      <w:r w:rsidRPr="00B77F92">
        <w:rPr>
          <w:rFonts w:eastAsia="Times New Roman"/>
          <w:b/>
          <w:szCs w:val="21"/>
          <w:lang w:eastAsia="de-DE"/>
        </w:rPr>
        <w:t>um breyt</w:t>
      </w:r>
      <w:r w:rsidRPr="00B77F92">
        <w:rPr>
          <w:rFonts w:eastAsia="Times New Roman"/>
          <w:b/>
          <w:szCs w:val="21"/>
          <w:lang w:eastAsia="de-DE"/>
        </w:rPr>
        <w:softHyphen/>
        <w:t>ingu á XXII. við</w:t>
      </w:r>
      <w:r w:rsidRPr="00B77F92">
        <w:rPr>
          <w:rFonts w:eastAsia="Times New Roman"/>
          <w:b/>
          <w:szCs w:val="21"/>
          <w:lang w:eastAsia="de-DE"/>
        </w:rPr>
        <w:softHyphen/>
        <w:t>auka (Félagaréttur) við EES-samn</w:t>
      </w:r>
      <w:r w:rsidRPr="00B77F92">
        <w:rPr>
          <w:rFonts w:eastAsia="Times New Roman"/>
          <w:b/>
          <w:szCs w:val="21"/>
          <w:lang w:eastAsia="de-DE"/>
        </w:rPr>
        <w:softHyphen/>
        <w:t>ing</w:t>
      </w:r>
      <w:r w:rsidRPr="00B77F92">
        <w:rPr>
          <w:rFonts w:eastAsia="Times New Roman"/>
          <w:b/>
          <w:szCs w:val="21"/>
          <w:lang w:eastAsia="de-DE"/>
        </w:rPr>
        <w:softHyphen/>
        <w:t>inn</w:t>
      </w:r>
    </w:p>
    <w:p w:rsidR="00B77F92" w:rsidRPr="00B77F92" w:rsidRDefault="00B77F92" w:rsidP="00B77F92">
      <w:pPr>
        <w:keepNext/>
        <w:spacing w:before="120" w:after="120"/>
        <w:ind w:firstLine="0"/>
        <w:rPr>
          <w:rFonts w:eastAsia="Times New Roman"/>
          <w:szCs w:val="21"/>
          <w:lang w:eastAsia="de-DE"/>
        </w:rPr>
      </w:pPr>
      <w:r w:rsidRPr="00B77F92">
        <w:rPr>
          <w:rFonts w:eastAsia="Times New Roman"/>
          <w:szCs w:val="21"/>
          <w:lang w:eastAsia="de-DE"/>
        </w:rPr>
        <w:t>SAM</w:t>
      </w:r>
      <w:r w:rsidRPr="00B77F92">
        <w:rPr>
          <w:rFonts w:eastAsia="Times New Roman"/>
          <w:szCs w:val="21"/>
          <w:lang w:eastAsia="de-DE"/>
        </w:rPr>
        <w:softHyphen/>
        <w:t>EIGIN</w:t>
      </w:r>
      <w:r w:rsidRPr="00B77F92">
        <w:rPr>
          <w:rFonts w:eastAsia="Times New Roman"/>
          <w:szCs w:val="21"/>
          <w:lang w:eastAsia="de-DE"/>
        </w:rPr>
        <w:softHyphen/>
        <w:t>LEGA EES-NEFNDIN HEFUR TEKIÐ NEÐAN</w:t>
      </w:r>
      <w:r w:rsidRPr="00B77F92">
        <w:rPr>
          <w:rFonts w:eastAsia="Times New Roman"/>
          <w:szCs w:val="21"/>
          <w:lang w:eastAsia="de-DE"/>
        </w:rPr>
        <w:softHyphen/>
        <w:t>GREINDA ÁKVÖRÐ</w:t>
      </w:r>
      <w:r w:rsidRPr="00B77F92">
        <w:rPr>
          <w:rFonts w:eastAsia="Times New Roman"/>
          <w:szCs w:val="21"/>
          <w:lang w:eastAsia="de-DE"/>
        </w:rPr>
        <w:softHyphen/>
        <w:t>UN</w:t>
      </w:r>
      <w:r w:rsidRPr="00B77F92">
        <w:rPr>
          <w:rFonts w:eastAsia="Times New Roman"/>
          <w:szCs w:val="21"/>
          <w:lang w:eastAsia="de-DE"/>
        </w:rPr>
        <w:softHyphen/>
      </w:r>
    </w:p>
    <w:p w:rsidR="00B77F92" w:rsidRPr="00B77F92" w:rsidRDefault="00B77F92" w:rsidP="00B77F92">
      <w:pPr>
        <w:spacing w:before="120"/>
        <w:ind w:firstLine="0"/>
        <w:rPr>
          <w:rFonts w:eastAsia="Times New Roman"/>
          <w:szCs w:val="21"/>
          <w:lang w:eastAsia="de-DE"/>
        </w:rPr>
      </w:pPr>
      <w:r w:rsidRPr="00B77F92">
        <w:rPr>
          <w:rFonts w:eastAsia="Times New Roman"/>
          <w:szCs w:val="21"/>
          <w:lang w:eastAsia="de-DE"/>
        </w:rPr>
        <w:t>með vísan til samn</w:t>
      </w:r>
      <w:r w:rsidRPr="00B77F92">
        <w:rPr>
          <w:rFonts w:eastAsia="Times New Roman"/>
          <w:szCs w:val="21"/>
          <w:lang w:eastAsia="de-DE"/>
        </w:rPr>
        <w:softHyphen/>
        <w:t>ings</w:t>
      </w:r>
      <w:r w:rsidRPr="00B77F92">
        <w:rPr>
          <w:rFonts w:eastAsia="Times New Roman"/>
          <w:szCs w:val="21"/>
          <w:lang w:eastAsia="de-DE"/>
        </w:rPr>
        <w:softHyphen/>
        <w:t>ins um Evrópska efna</w:t>
      </w:r>
      <w:r w:rsidRPr="00B77F92">
        <w:rPr>
          <w:rFonts w:eastAsia="Times New Roman"/>
          <w:szCs w:val="21"/>
          <w:lang w:eastAsia="de-DE"/>
        </w:rPr>
        <w:softHyphen/>
        <w:t>hags</w:t>
      </w:r>
      <w:r w:rsidRPr="00B77F92">
        <w:rPr>
          <w:rFonts w:eastAsia="Times New Roman"/>
          <w:szCs w:val="21"/>
          <w:lang w:eastAsia="de-DE"/>
        </w:rPr>
        <w:softHyphen/>
        <w:t>svæðið, er nefnist „EES-samn</w:t>
      </w:r>
      <w:r w:rsidRPr="00B77F92">
        <w:rPr>
          <w:rFonts w:eastAsia="Times New Roman"/>
          <w:szCs w:val="21"/>
          <w:lang w:eastAsia="de-DE"/>
        </w:rPr>
        <w:softHyphen/>
        <w:t>ing</w:t>
      </w:r>
      <w:r w:rsidRPr="00B77F92">
        <w:rPr>
          <w:rFonts w:eastAsia="Times New Roman"/>
          <w:szCs w:val="21"/>
          <w:lang w:eastAsia="de-DE"/>
        </w:rPr>
        <w:softHyphen/>
        <w:t>ur</w:t>
      </w:r>
      <w:r w:rsidRPr="00B77F92">
        <w:rPr>
          <w:rFonts w:eastAsia="Times New Roman"/>
          <w:szCs w:val="21"/>
          <w:lang w:eastAsia="de-DE"/>
        </w:rPr>
        <w:softHyphen/>
        <w:t>inn“ í því sem hér fer á eftir, einkum ákvæða 98. gr.,</w:t>
      </w:r>
    </w:p>
    <w:p w:rsidR="00B77F92" w:rsidRPr="00B77F92" w:rsidRDefault="00B77F92" w:rsidP="00B77F92">
      <w:pPr>
        <w:spacing w:before="120" w:after="120"/>
        <w:ind w:firstLine="0"/>
        <w:rPr>
          <w:rFonts w:eastAsia="Times New Roman"/>
          <w:szCs w:val="21"/>
          <w:lang w:eastAsia="de-DE"/>
        </w:rPr>
      </w:pPr>
      <w:r w:rsidRPr="00B77F92">
        <w:rPr>
          <w:rFonts w:eastAsia="Times New Roman"/>
          <w:i/>
          <w:szCs w:val="21"/>
          <w:lang w:eastAsia="de-DE"/>
        </w:rPr>
        <w:t>og að teknu tilliti til eftir</w:t>
      </w:r>
      <w:r w:rsidRPr="00B77F92">
        <w:rPr>
          <w:rFonts w:eastAsia="Times New Roman"/>
          <w:i/>
          <w:szCs w:val="21"/>
          <w:lang w:eastAsia="de-DE"/>
        </w:rPr>
        <w:softHyphen/>
        <w:t>far</w:t>
      </w:r>
      <w:r w:rsidRPr="00B77F92">
        <w:rPr>
          <w:rFonts w:eastAsia="Times New Roman"/>
          <w:i/>
          <w:szCs w:val="21"/>
          <w:lang w:eastAsia="de-DE"/>
        </w:rPr>
        <w:softHyphen/>
        <w:t>andi:</w:t>
      </w:r>
    </w:p>
    <w:p w:rsidR="00B77F92" w:rsidRPr="00B77F92" w:rsidRDefault="00B77F92" w:rsidP="00B77F92">
      <w:pPr>
        <w:pStyle w:val="ListParagraph"/>
        <w:numPr>
          <w:ilvl w:val="0"/>
          <w:numId w:val="15"/>
        </w:numPr>
        <w:tabs>
          <w:tab w:val="num" w:pos="709"/>
        </w:tabs>
        <w:spacing w:before="120" w:after="120"/>
        <w:ind w:left="567" w:hanging="567"/>
        <w:rPr>
          <w:rFonts w:eastAsia="Times New Roman"/>
          <w:szCs w:val="21"/>
          <w:lang w:eastAsia="de-DE"/>
        </w:rPr>
      </w:pPr>
      <w:bookmarkStart w:id="1" w:name="OLE_LINK2"/>
      <w:r w:rsidRPr="00B77F92">
        <w:rPr>
          <w:rFonts w:eastAsia="Times New Roman"/>
          <w:bCs/>
          <w:szCs w:val="21"/>
          <w:lang w:eastAsia="de-DE"/>
        </w:rPr>
        <w:t>Fella ber inn í EES-samn</w:t>
      </w:r>
      <w:r w:rsidRPr="00B77F92">
        <w:rPr>
          <w:rFonts w:eastAsia="Times New Roman"/>
          <w:bCs/>
          <w:szCs w:val="21"/>
          <w:lang w:eastAsia="de-DE"/>
        </w:rPr>
        <w:softHyphen/>
        <w:t>ing</w:t>
      </w:r>
      <w:r w:rsidRPr="00B77F92">
        <w:rPr>
          <w:rFonts w:eastAsia="Times New Roman"/>
          <w:bCs/>
          <w:szCs w:val="21"/>
          <w:lang w:eastAsia="de-DE"/>
        </w:rPr>
        <w:softHyphen/>
        <w:t>inn tilskipun Evrópuþingsins og ráðsins 2013/34/ESB frá 26. júní 2013 um árleg reikningsskil, samstæðureikningsskil og tilheyrandi skýrslur tiltekinna tegunda fyrirtækja, um breytingu á tilskipun Evrópuþingsins og ráðsins 2006/43/EB og niðurfellingu tilskipana ráðsins 78/660/EBE og 83/349/EBE (</w:t>
      </w:r>
      <w:r w:rsidRPr="00B77F92">
        <w:rPr>
          <w:vertAlign w:val="superscript"/>
          <w:lang w:eastAsia="de-DE"/>
        </w:rPr>
        <w:footnoteReference w:id="1"/>
      </w:r>
      <w:r w:rsidRPr="00B77F92">
        <w:rPr>
          <w:rFonts w:eastAsia="Times New Roman"/>
          <w:bCs/>
          <w:szCs w:val="21"/>
          <w:lang w:eastAsia="de-DE"/>
        </w:rPr>
        <w:t>)</w:t>
      </w:r>
      <w:bookmarkEnd w:id="1"/>
      <w:r w:rsidRPr="00B77F92">
        <w:rPr>
          <w:rFonts w:eastAsia="Times New Roman"/>
          <w:szCs w:val="21"/>
          <w:lang w:eastAsia="de-DE"/>
        </w:rPr>
        <w:t>.</w:t>
      </w:r>
    </w:p>
    <w:p w:rsidR="00B77F92" w:rsidRPr="00B77F92" w:rsidRDefault="00B77F92" w:rsidP="00B77F92">
      <w:pPr>
        <w:pStyle w:val="ListParagraph"/>
        <w:numPr>
          <w:ilvl w:val="0"/>
          <w:numId w:val="15"/>
        </w:numPr>
        <w:tabs>
          <w:tab w:val="num" w:pos="709"/>
        </w:tabs>
        <w:spacing w:before="120" w:after="120"/>
        <w:ind w:left="567" w:hanging="567"/>
        <w:rPr>
          <w:rFonts w:eastAsia="Times New Roman"/>
          <w:szCs w:val="21"/>
          <w:lang w:eastAsia="de-DE"/>
        </w:rPr>
      </w:pPr>
      <w:r w:rsidRPr="00B77F92">
        <w:rPr>
          <w:rFonts w:eastAsia="Times New Roman"/>
          <w:szCs w:val="21"/>
          <w:lang w:eastAsia="de-DE"/>
        </w:rPr>
        <w:t>Samkvæmt ákvæðum tilskipunar 2013/34/ESB falla úr gildi fjórða tilskipun ráðsins 78/660/EBE </w:t>
      </w:r>
      <w:r w:rsidRPr="00B77F92">
        <w:rPr>
          <w:rFonts w:eastAsia="Times New Roman"/>
          <w:bCs/>
          <w:szCs w:val="21"/>
          <w:lang w:eastAsia="de-DE"/>
        </w:rPr>
        <w:t>(</w:t>
      </w:r>
      <w:r w:rsidRPr="00B77F92">
        <w:rPr>
          <w:vertAlign w:val="superscript"/>
          <w:lang w:eastAsia="de-DE"/>
        </w:rPr>
        <w:footnoteReference w:id="2"/>
      </w:r>
      <w:r w:rsidRPr="00B77F92">
        <w:rPr>
          <w:rFonts w:eastAsia="Times New Roman"/>
          <w:bCs/>
          <w:szCs w:val="21"/>
          <w:lang w:eastAsia="de-DE"/>
        </w:rPr>
        <w:t>) og sjöunda tilskipun ráðsins 83/349/EBE (</w:t>
      </w:r>
      <w:r w:rsidRPr="00B77F92">
        <w:rPr>
          <w:vertAlign w:val="superscript"/>
          <w:lang w:eastAsia="de-DE"/>
        </w:rPr>
        <w:footnoteReference w:id="3"/>
      </w:r>
      <w:r w:rsidRPr="00B77F92">
        <w:rPr>
          <w:rFonts w:eastAsia="Times New Roman"/>
          <w:bCs/>
          <w:szCs w:val="21"/>
          <w:lang w:eastAsia="de-DE"/>
        </w:rPr>
        <w:t>), en þær gerðir hafa verið felldar inn í EES-samninginn og ber því að fella þær úr EES-samningnum.</w:t>
      </w:r>
    </w:p>
    <w:p w:rsidR="00B77F92" w:rsidRPr="00B77F92" w:rsidRDefault="00B77F92" w:rsidP="00B77F92">
      <w:pPr>
        <w:pStyle w:val="ListParagraph"/>
        <w:numPr>
          <w:ilvl w:val="0"/>
          <w:numId w:val="15"/>
        </w:numPr>
        <w:tabs>
          <w:tab w:val="num" w:pos="709"/>
        </w:tabs>
        <w:spacing w:before="120" w:after="120"/>
        <w:ind w:left="567" w:hanging="567"/>
        <w:rPr>
          <w:rFonts w:eastAsia="Times New Roman"/>
          <w:szCs w:val="21"/>
          <w:lang w:eastAsia="de-DE"/>
        </w:rPr>
      </w:pPr>
      <w:r w:rsidRPr="00B77F92">
        <w:rPr>
          <w:rFonts w:eastAsia="Times New Roman"/>
          <w:bCs/>
          <w:szCs w:val="21"/>
          <w:lang w:eastAsia="de-DE"/>
        </w:rPr>
        <w:t>XXII. viðauki við EES-samninginn breytist því í samræmi við það.</w:t>
      </w:r>
    </w:p>
    <w:p w:rsidR="00B77F92" w:rsidRPr="00B77F92" w:rsidRDefault="00B77F92" w:rsidP="00B77F92">
      <w:pPr>
        <w:keepNext/>
        <w:spacing w:before="180" w:after="120"/>
        <w:ind w:firstLine="0"/>
        <w:rPr>
          <w:rFonts w:eastAsia="Times New Roman"/>
          <w:szCs w:val="21"/>
          <w:lang w:eastAsia="de-DE"/>
        </w:rPr>
      </w:pPr>
      <w:r w:rsidRPr="00B77F92">
        <w:rPr>
          <w:rFonts w:eastAsia="Times New Roman"/>
          <w:szCs w:val="21"/>
          <w:lang w:eastAsia="de-DE"/>
        </w:rPr>
        <w:t>ÁKVÖRÐ</w:t>
      </w:r>
      <w:r w:rsidRPr="00B77F92">
        <w:rPr>
          <w:rFonts w:eastAsia="Times New Roman"/>
          <w:szCs w:val="21"/>
          <w:lang w:eastAsia="de-DE"/>
        </w:rPr>
        <w:softHyphen/>
        <w:t>UN</w:t>
      </w:r>
      <w:r w:rsidRPr="00B77F92">
        <w:rPr>
          <w:rFonts w:eastAsia="Times New Roman"/>
          <w:szCs w:val="21"/>
          <w:lang w:eastAsia="de-DE"/>
        </w:rPr>
        <w:softHyphen/>
        <w:t>IN ER SVOHLJÓÐANDI:</w:t>
      </w:r>
    </w:p>
    <w:p w:rsidR="00B77F92" w:rsidRPr="00B77F92" w:rsidRDefault="00B77F92" w:rsidP="00B77F92">
      <w:pPr>
        <w:keepNext/>
        <w:spacing w:before="360" w:after="120"/>
        <w:ind w:firstLine="0"/>
        <w:jc w:val="center"/>
        <w:rPr>
          <w:rFonts w:eastAsia="Times New Roman"/>
          <w:i/>
          <w:szCs w:val="21"/>
          <w:lang w:eastAsia="de-DE"/>
        </w:rPr>
      </w:pPr>
      <w:r w:rsidRPr="00B77F92">
        <w:rPr>
          <w:rFonts w:eastAsia="Times New Roman"/>
          <w:i/>
          <w:szCs w:val="21"/>
          <w:lang w:eastAsia="de-DE"/>
        </w:rPr>
        <w:t>1. gr.</w:t>
      </w:r>
    </w:p>
    <w:p w:rsidR="00B77F92" w:rsidRPr="00B77F92" w:rsidRDefault="00B77F92" w:rsidP="00B77F92">
      <w:pPr>
        <w:spacing w:before="120" w:after="120"/>
        <w:ind w:firstLine="0"/>
        <w:rPr>
          <w:rFonts w:eastAsia="Times New Roman"/>
          <w:szCs w:val="21"/>
          <w:lang w:eastAsia="de-DE"/>
        </w:rPr>
      </w:pPr>
      <w:r w:rsidRPr="00B77F92">
        <w:rPr>
          <w:rFonts w:eastAsia="Times New Roman"/>
          <w:szCs w:val="21"/>
          <w:lang w:eastAsia="de-DE"/>
        </w:rPr>
        <w:t>Ákvæði XXII. við</w:t>
      </w:r>
      <w:r w:rsidRPr="00B77F92">
        <w:rPr>
          <w:rFonts w:eastAsia="Times New Roman"/>
          <w:szCs w:val="21"/>
          <w:lang w:eastAsia="de-DE"/>
        </w:rPr>
        <w:softHyphen/>
        <w:t>auka við EES-samn</w:t>
      </w:r>
      <w:r w:rsidRPr="00B77F92">
        <w:rPr>
          <w:rFonts w:eastAsia="Times New Roman"/>
          <w:szCs w:val="21"/>
          <w:lang w:eastAsia="de-DE"/>
        </w:rPr>
        <w:softHyphen/>
        <w:t>ing</w:t>
      </w:r>
      <w:r w:rsidRPr="00B77F92">
        <w:rPr>
          <w:rFonts w:eastAsia="Times New Roman"/>
          <w:szCs w:val="21"/>
          <w:lang w:eastAsia="de-DE"/>
        </w:rPr>
        <w:softHyphen/>
        <w:t>inn breytist sem hér segir:</w:t>
      </w:r>
    </w:p>
    <w:p w:rsidR="00B77F92" w:rsidRPr="00B77F92" w:rsidRDefault="00B77F92" w:rsidP="00B77F92">
      <w:pPr>
        <w:spacing w:after="120"/>
        <w:ind w:left="567" w:hanging="567"/>
        <w:rPr>
          <w:rFonts w:eastAsia="Times New Roman"/>
          <w:szCs w:val="21"/>
          <w:lang w:eastAsia="de-DE"/>
        </w:rPr>
      </w:pPr>
      <w:r w:rsidRPr="00B77F92">
        <w:rPr>
          <w:rFonts w:eastAsia="Times New Roman"/>
          <w:szCs w:val="21"/>
          <w:lang w:eastAsia="de-DE"/>
        </w:rPr>
        <w:t>1.</w:t>
      </w:r>
      <w:r w:rsidRPr="00B77F92">
        <w:rPr>
          <w:rFonts w:eastAsia="Times New Roman"/>
          <w:szCs w:val="21"/>
          <w:lang w:eastAsia="de-DE"/>
        </w:rPr>
        <w:tab/>
        <w:t>Eftirfarandi bætist við í lið 10f (tilskipun Evrópuþingsins og ráðsins 2006/43/EB):</w:t>
      </w:r>
    </w:p>
    <w:p w:rsidR="00B77F92" w:rsidRPr="00B77F92" w:rsidRDefault="00B77F92" w:rsidP="00B77F92">
      <w:pPr>
        <w:ind w:left="1134" w:hanging="567"/>
        <w:rPr>
          <w:rFonts w:eastAsia="Times New Roman"/>
          <w:szCs w:val="21"/>
          <w:lang w:eastAsia="de-DE"/>
        </w:rPr>
      </w:pPr>
      <w:r w:rsidRPr="00B77F92">
        <w:rPr>
          <w:rFonts w:eastAsia="Times New Roman"/>
          <w:szCs w:val="21"/>
          <w:lang w:eastAsia="de-DE"/>
        </w:rPr>
        <w:t>„eins og henni var breytt með:</w:t>
      </w:r>
    </w:p>
    <w:p w:rsidR="00B77F92" w:rsidRPr="00B77F92" w:rsidRDefault="00B77F92" w:rsidP="00B77F92">
      <w:pPr>
        <w:spacing w:before="120" w:after="120"/>
        <w:ind w:left="1134" w:hanging="567"/>
        <w:rPr>
          <w:rFonts w:eastAsia="Times New Roman"/>
          <w:szCs w:val="21"/>
          <w:lang w:eastAsia="de-DE"/>
        </w:rPr>
      </w:pPr>
      <w:r w:rsidRPr="00B77F92">
        <w:rPr>
          <w:rFonts w:eastAsia="Times New Roman"/>
          <w:szCs w:val="21"/>
          <w:lang w:eastAsia="de-DE"/>
        </w:rPr>
        <w:t>–</w:t>
      </w:r>
      <w:r w:rsidRPr="00B77F92">
        <w:rPr>
          <w:rFonts w:eastAsia="Times New Roman"/>
          <w:szCs w:val="21"/>
          <w:lang w:eastAsia="de-DE"/>
        </w:rPr>
        <w:tab/>
      </w:r>
      <w:r w:rsidRPr="00B77F92">
        <w:rPr>
          <w:rFonts w:eastAsia="Times New Roman"/>
          <w:b/>
          <w:szCs w:val="21"/>
          <w:lang w:eastAsia="de-DE"/>
        </w:rPr>
        <w:t>32013 L 0034</w:t>
      </w:r>
      <w:r w:rsidRPr="00B77F92">
        <w:rPr>
          <w:rFonts w:eastAsia="Times New Roman"/>
          <w:szCs w:val="21"/>
          <w:lang w:eastAsia="de-DE"/>
        </w:rPr>
        <w:t xml:space="preserve">: </w:t>
      </w:r>
      <w:r w:rsidRPr="00B77F92">
        <w:rPr>
          <w:rFonts w:eastAsia="Times New Roman"/>
          <w:bCs/>
          <w:szCs w:val="21"/>
          <w:lang w:eastAsia="de-DE"/>
        </w:rPr>
        <w:t xml:space="preserve">Tilskipun Evrópuþingsins og ráðsins 2013/34/ESB frá 26. júní 2013 </w:t>
      </w:r>
      <w:r w:rsidRPr="00B77F92">
        <w:rPr>
          <w:rFonts w:eastAsia="Times New Roman"/>
          <w:szCs w:val="21"/>
          <w:lang w:eastAsia="de-DE"/>
        </w:rPr>
        <w:t>(Stjtíð. ESB L 182, 29.6.2013, bls. 19).“</w:t>
      </w:r>
    </w:p>
    <w:p w:rsidR="00B77F92" w:rsidRPr="00B77F92" w:rsidRDefault="00B77F92" w:rsidP="00B77F92">
      <w:pPr>
        <w:spacing w:after="120"/>
        <w:ind w:left="567" w:hanging="567"/>
        <w:rPr>
          <w:rFonts w:eastAsia="Times New Roman"/>
          <w:szCs w:val="21"/>
          <w:lang w:eastAsia="de-DE"/>
        </w:rPr>
      </w:pPr>
      <w:r w:rsidRPr="00B77F92">
        <w:rPr>
          <w:rFonts w:eastAsia="Times New Roman"/>
          <w:szCs w:val="21"/>
          <w:lang w:eastAsia="de-DE"/>
        </w:rPr>
        <w:t>2.</w:t>
      </w:r>
      <w:r w:rsidRPr="00B77F92">
        <w:rPr>
          <w:rFonts w:eastAsia="Times New Roman"/>
          <w:szCs w:val="21"/>
          <w:lang w:eastAsia="de-DE"/>
        </w:rPr>
        <w:tab/>
        <w:t>Eftirfarandi bætist við á eftir lið 10h (tilskipun Evrópuþingsins og ráðsins 2012/17/ESB):</w:t>
      </w:r>
    </w:p>
    <w:p w:rsidR="00B77F92" w:rsidRPr="00B77F92" w:rsidRDefault="00B77F92" w:rsidP="00B77F92">
      <w:pPr>
        <w:spacing w:before="120" w:after="120"/>
        <w:ind w:left="1134" w:hanging="567"/>
        <w:rPr>
          <w:rFonts w:eastAsia="Times New Roman"/>
          <w:szCs w:val="21"/>
          <w:lang w:eastAsia="de-DE"/>
        </w:rPr>
      </w:pPr>
      <w:r w:rsidRPr="00B77F92">
        <w:rPr>
          <w:rFonts w:eastAsia="Times New Roman"/>
          <w:szCs w:val="21"/>
          <w:lang w:eastAsia="de-DE"/>
        </w:rPr>
        <w:t>„10i.</w:t>
      </w:r>
      <w:r w:rsidRPr="00B77F92">
        <w:rPr>
          <w:rFonts w:eastAsia="Times New Roman"/>
          <w:szCs w:val="21"/>
          <w:lang w:eastAsia="de-DE"/>
        </w:rPr>
        <w:tab/>
      </w:r>
      <w:r w:rsidRPr="00B77F92">
        <w:rPr>
          <w:rFonts w:eastAsia="Times New Roman"/>
          <w:b/>
          <w:szCs w:val="21"/>
          <w:lang w:eastAsia="de-DE"/>
        </w:rPr>
        <w:t>32013 L 0034</w:t>
      </w:r>
      <w:r w:rsidRPr="00B77F92">
        <w:rPr>
          <w:rFonts w:eastAsia="Times New Roman"/>
          <w:szCs w:val="21"/>
          <w:lang w:eastAsia="de-DE"/>
        </w:rPr>
        <w:t xml:space="preserve">: </w:t>
      </w:r>
      <w:r w:rsidRPr="00B77F92">
        <w:rPr>
          <w:rFonts w:eastAsia="Times New Roman"/>
          <w:bCs/>
          <w:szCs w:val="21"/>
          <w:lang w:eastAsia="de-DE"/>
        </w:rPr>
        <w:t>Tilskipun Evrópuþingsins og ráðsins 2013/34/ESB frá 26. júní 2013 um árleg reikningsskil, samstæðureikningsskil og tilheyrandi skýrslur tiltekinna tegunda fyrirtækja, um breytingu á tilskipun Evrópuþingsins og ráðsins 2006/43/EB og niðurfellingu tilskipana ráðsins 78/660/EBE og 83/349/EBE </w:t>
      </w:r>
      <w:r w:rsidRPr="00B77F92">
        <w:rPr>
          <w:rFonts w:eastAsia="Times New Roman"/>
          <w:szCs w:val="21"/>
          <w:lang w:eastAsia="de-DE"/>
        </w:rPr>
        <w:t>(Stjtíð. ESB L 182, 29.6.2013, bls. 19).</w:t>
      </w:r>
    </w:p>
    <w:p w:rsidR="00B77F92" w:rsidRPr="00B77F92" w:rsidRDefault="00B77F92" w:rsidP="00354A93">
      <w:pPr>
        <w:spacing w:after="120"/>
        <w:ind w:left="1134" w:firstLine="0"/>
        <w:rPr>
          <w:rFonts w:eastAsia="Times New Roman"/>
          <w:szCs w:val="21"/>
          <w:lang w:eastAsia="de-DE"/>
        </w:rPr>
      </w:pPr>
      <w:r w:rsidRPr="00B77F92">
        <w:rPr>
          <w:rFonts w:eastAsia="Times New Roman"/>
          <w:szCs w:val="21"/>
          <w:lang w:eastAsia="de-DE"/>
        </w:rPr>
        <w:t>Ákvæði reglu</w:t>
      </w:r>
      <w:r w:rsidRPr="00B77F92">
        <w:rPr>
          <w:rFonts w:eastAsia="Times New Roman"/>
          <w:szCs w:val="21"/>
          <w:lang w:eastAsia="de-DE"/>
        </w:rPr>
        <w:softHyphen/>
        <w:t>gerð</w:t>
      </w:r>
      <w:r w:rsidRPr="00B77F92">
        <w:rPr>
          <w:rFonts w:eastAsia="Times New Roman"/>
          <w:szCs w:val="21"/>
          <w:lang w:eastAsia="de-DE"/>
        </w:rPr>
        <w:softHyphen/>
        <w:t>arinnar skulu, að því er sam</w:t>
      </w:r>
      <w:r w:rsidR="00354A93">
        <w:rPr>
          <w:rFonts w:eastAsia="Times New Roman"/>
          <w:szCs w:val="21"/>
          <w:lang w:eastAsia="de-DE"/>
        </w:rPr>
        <w:t xml:space="preserve">ning þennan varðar, aðlöguð sem </w:t>
      </w:r>
      <w:r w:rsidRPr="00B77F92">
        <w:rPr>
          <w:rFonts w:eastAsia="Times New Roman"/>
          <w:szCs w:val="21"/>
          <w:lang w:eastAsia="de-DE"/>
        </w:rPr>
        <w:t>hér segir:</w:t>
      </w:r>
    </w:p>
    <w:p w:rsidR="00B77F92" w:rsidRPr="00B77F92" w:rsidRDefault="00B77F92" w:rsidP="00354A93">
      <w:pPr>
        <w:spacing w:after="120"/>
        <w:ind w:left="1701" w:hanging="567"/>
        <w:rPr>
          <w:rFonts w:eastAsia="Times New Roman"/>
          <w:szCs w:val="21"/>
          <w:lang w:eastAsia="de-DE"/>
        </w:rPr>
      </w:pPr>
      <w:r w:rsidRPr="00B77F92">
        <w:rPr>
          <w:rFonts w:eastAsia="Times New Roman"/>
          <w:szCs w:val="21"/>
          <w:lang w:eastAsia="de-DE"/>
        </w:rPr>
        <w:lastRenderedPageBreak/>
        <w:t>a)</w:t>
      </w:r>
      <w:r w:rsidRPr="00B77F92">
        <w:rPr>
          <w:rFonts w:eastAsia="Times New Roman"/>
          <w:szCs w:val="21"/>
          <w:lang w:eastAsia="de-DE"/>
        </w:rPr>
        <w:tab/>
        <w:t>Þegar innlendum gjaldmiði er skipt í evrur, að því er varðar Ísland og Noreg, skal nota það gengi sem seðlabanki, sem er ábyrgur fyrir innlenda gjaldmiðlinum, birtir.</w:t>
      </w:r>
    </w:p>
    <w:p w:rsidR="00B77F92" w:rsidRPr="00B77F92" w:rsidRDefault="00B77F92" w:rsidP="00354A93">
      <w:pPr>
        <w:ind w:left="1701" w:hanging="567"/>
        <w:rPr>
          <w:rFonts w:eastAsia="Times New Roman"/>
          <w:szCs w:val="21"/>
          <w:lang w:eastAsia="de-DE"/>
        </w:rPr>
      </w:pPr>
      <w:r w:rsidRPr="00B77F92">
        <w:rPr>
          <w:rFonts w:eastAsia="Times New Roman"/>
          <w:szCs w:val="21"/>
          <w:lang w:eastAsia="de-DE"/>
        </w:rPr>
        <w:t>b)</w:t>
      </w:r>
      <w:r w:rsidRPr="00B77F92">
        <w:rPr>
          <w:rFonts w:eastAsia="Times New Roman"/>
          <w:szCs w:val="21"/>
          <w:lang w:eastAsia="de-DE"/>
        </w:rPr>
        <w:tab/>
        <w:t>Eftirfarandi bætist við í I. viðauka:</w:t>
      </w:r>
    </w:p>
    <w:p w:rsidR="00B77F92" w:rsidRPr="00B77F92" w:rsidRDefault="00B77F92" w:rsidP="00354A93">
      <w:pPr>
        <w:tabs>
          <w:tab w:val="left" w:pos="2552"/>
        </w:tabs>
        <w:spacing w:before="120" w:after="120"/>
        <w:ind w:left="2268" w:hanging="567"/>
        <w:rPr>
          <w:rFonts w:eastAsia="Times New Roman"/>
          <w:szCs w:val="21"/>
          <w:lang w:eastAsia="de-DE"/>
        </w:rPr>
      </w:pPr>
      <w:r w:rsidRPr="00B77F92">
        <w:rPr>
          <w:rFonts w:eastAsia="Times New Roman"/>
          <w:szCs w:val="21"/>
          <w:lang w:eastAsia="de-DE"/>
        </w:rPr>
        <w:t>„–</w:t>
      </w:r>
      <w:r w:rsidRPr="00B77F92">
        <w:rPr>
          <w:rFonts w:eastAsia="Times New Roman"/>
          <w:szCs w:val="21"/>
          <w:lang w:eastAsia="de-DE"/>
        </w:rPr>
        <w:tab/>
        <w:t>Ísland:</w:t>
      </w:r>
    </w:p>
    <w:p w:rsidR="00B77F92" w:rsidRPr="00B77F92" w:rsidRDefault="00B77F92" w:rsidP="00354A93">
      <w:pPr>
        <w:spacing w:after="120"/>
        <w:ind w:left="2835" w:hanging="567"/>
        <w:rPr>
          <w:rFonts w:eastAsia="Times New Roman"/>
          <w:szCs w:val="21"/>
          <w:lang w:eastAsia="de-DE"/>
        </w:rPr>
      </w:pPr>
      <w:r w:rsidRPr="00B77F92">
        <w:rPr>
          <w:rFonts w:eastAsia="Times New Roman"/>
          <w:szCs w:val="21"/>
          <w:lang w:eastAsia="de-DE"/>
        </w:rPr>
        <w:t>hlutafélag, einkahlutafélag,</w:t>
      </w:r>
    </w:p>
    <w:p w:rsidR="00B77F92" w:rsidRPr="00B77F92" w:rsidRDefault="00B77F92" w:rsidP="00354A93">
      <w:pPr>
        <w:spacing w:after="120"/>
        <w:ind w:left="2268" w:hanging="567"/>
        <w:rPr>
          <w:rFonts w:eastAsia="Times New Roman"/>
          <w:szCs w:val="21"/>
          <w:lang w:eastAsia="de-DE"/>
        </w:rPr>
      </w:pPr>
      <w:r w:rsidRPr="00B77F92">
        <w:rPr>
          <w:rFonts w:eastAsia="Times New Roman"/>
          <w:szCs w:val="21"/>
          <w:lang w:eastAsia="de-DE"/>
        </w:rPr>
        <w:t>–</w:t>
      </w:r>
      <w:r w:rsidRPr="00B77F92">
        <w:rPr>
          <w:rFonts w:eastAsia="Times New Roman"/>
          <w:szCs w:val="21"/>
          <w:lang w:eastAsia="de-DE"/>
        </w:rPr>
        <w:tab/>
        <w:t>Liechtenstein:</w:t>
      </w:r>
    </w:p>
    <w:p w:rsidR="00B77F92" w:rsidRPr="00B77F92" w:rsidRDefault="00B77F92" w:rsidP="00354A93">
      <w:pPr>
        <w:spacing w:after="120"/>
        <w:ind w:left="2268" w:firstLine="0"/>
        <w:rPr>
          <w:rFonts w:eastAsia="Times New Roman"/>
          <w:szCs w:val="21"/>
          <w:lang w:eastAsia="de-DE"/>
        </w:rPr>
      </w:pPr>
      <w:r w:rsidRPr="00B77F92">
        <w:rPr>
          <w:rFonts w:eastAsia="Times New Roman"/>
          <w:szCs w:val="21"/>
          <w:lang w:eastAsia="de-DE"/>
        </w:rPr>
        <w:t>die Aktiengesellschaft, die Gesellschaft mit beschränkter Haftung, die Kommanditaktiengesellschaft,</w:t>
      </w:r>
    </w:p>
    <w:p w:rsidR="00B77F92" w:rsidRPr="00B77F92" w:rsidRDefault="00B77F92" w:rsidP="00354A93">
      <w:pPr>
        <w:spacing w:after="120"/>
        <w:ind w:left="2268" w:hanging="567"/>
        <w:rPr>
          <w:rFonts w:eastAsia="Times New Roman"/>
          <w:szCs w:val="21"/>
          <w:lang w:eastAsia="de-DE"/>
        </w:rPr>
      </w:pPr>
      <w:r w:rsidRPr="00B77F92">
        <w:rPr>
          <w:rFonts w:eastAsia="Times New Roman"/>
          <w:szCs w:val="21"/>
          <w:lang w:eastAsia="de-DE"/>
        </w:rPr>
        <w:t>–</w:t>
      </w:r>
      <w:r w:rsidRPr="00B77F92">
        <w:rPr>
          <w:rFonts w:eastAsia="Times New Roman"/>
          <w:szCs w:val="21"/>
          <w:lang w:eastAsia="de-DE"/>
        </w:rPr>
        <w:tab/>
        <w:t>Noregur:</w:t>
      </w:r>
    </w:p>
    <w:p w:rsidR="00B77F92" w:rsidRPr="00B77F92" w:rsidRDefault="00B77F92" w:rsidP="00354A93">
      <w:pPr>
        <w:spacing w:after="120"/>
        <w:ind w:left="2835" w:hanging="567"/>
        <w:rPr>
          <w:rFonts w:eastAsia="Times New Roman"/>
          <w:szCs w:val="21"/>
          <w:lang w:eastAsia="de-DE"/>
        </w:rPr>
      </w:pPr>
      <w:r w:rsidRPr="00B77F92">
        <w:rPr>
          <w:rFonts w:eastAsia="Times New Roman"/>
          <w:szCs w:val="21"/>
          <w:lang w:eastAsia="de-DE"/>
        </w:rPr>
        <w:t>aksjeselskap, almennaksjeselskap.“</w:t>
      </w:r>
    </w:p>
    <w:p w:rsidR="00B77F92" w:rsidRPr="00B77F92" w:rsidRDefault="00B77F92" w:rsidP="00354A93">
      <w:pPr>
        <w:spacing w:after="120"/>
        <w:ind w:left="1701" w:hanging="567"/>
        <w:rPr>
          <w:rFonts w:eastAsia="Times New Roman"/>
          <w:szCs w:val="21"/>
          <w:lang w:eastAsia="de-DE"/>
        </w:rPr>
      </w:pPr>
      <w:r w:rsidRPr="00B77F92">
        <w:rPr>
          <w:rFonts w:eastAsia="Times New Roman"/>
          <w:szCs w:val="21"/>
          <w:lang w:eastAsia="de-DE"/>
        </w:rPr>
        <w:t>c)</w:t>
      </w:r>
      <w:r w:rsidRPr="00B77F92">
        <w:rPr>
          <w:rFonts w:eastAsia="Times New Roman"/>
          <w:szCs w:val="21"/>
          <w:lang w:eastAsia="de-DE"/>
        </w:rPr>
        <w:tab/>
        <w:t>Eftirfarandi bætist við í II. viðauka:</w:t>
      </w:r>
    </w:p>
    <w:p w:rsidR="00B77F92" w:rsidRPr="00B77F92" w:rsidRDefault="00B77F92" w:rsidP="00354A93">
      <w:pPr>
        <w:tabs>
          <w:tab w:val="left" w:pos="2552"/>
        </w:tabs>
        <w:spacing w:after="120"/>
        <w:ind w:left="2271" w:hanging="567"/>
        <w:rPr>
          <w:rFonts w:eastAsia="Times New Roman"/>
          <w:szCs w:val="21"/>
          <w:lang w:eastAsia="de-DE"/>
        </w:rPr>
      </w:pPr>
      <w:r w:rsidRPr="00B77F92">
        <w:rPr>
          <w:rFonts w:eastAsia="Times New Roman"/>
          <w:szCs w:val="21"/>
          <w:lang w:eastAsia="de-DE"/>
        </w:rPr>
        <w:t>„–</w:t>
      </w:r>
      <w:r w:rsidRPr="00B77F92">
        <w:rPr>
          <w:rFonts w:eastAsia="Times New Roman"/>
          <w:szCs w:val="21"/>
          <w:lang w:eastAsia="de-DE"/>
        </w:rPr>
        <w:tab/>
        <w:t>Ísland:</w:t>
      </w:r>
    </w:p>
    <w:p w:rsidR="00B77F92" w:rsidRPr="00B77F92" w:rsidRDefault="00B77F92" w:rsidP="00354A93">
      <w:pPr>
        <w:tabs>
          <w:tab w:val="left" w:pos="2552"/>
        </w:tabs>
        <w:spacing w:after="120"/>
        <w:ind w:left="2838" w:hanging="567"/>
        <w:rPr>
          <w:rFonts w:eastAsia="Times New Roman"/>
          <w:szCs w:val="21"/>
          <w:lang w:eastAsia="de-DE"/>
        </w:rPr>
      </w:pPr>
      <w:r w:rsidRPr="00B77F92">
        <w:rPr>
          <w:rFonts w:eastAsia="Times New Roman"/>
          <w:szCs w:val="21"/>
          <w:lang w:eastAsia="de-DE"/>
        </w:rPr>
        <w:t>sameignarfélag, samlagsfélag,</w:t>
      </w:r>
    </w:p>
    <w:p w:rsidR="00B77F92" w:rsidRPr="00B77F92" w:rsidRDefault="00B77F92" w:rsidP="00354A93">
      <w:pPr>
        <w:tabs>
          <w:tab w:val="left" w:pos="2552"/>
        </w:tabs>
        <w:spacing w:after="120"/>
        <w:ind w:left="2268" w:hanging="567"/>
        <w:rPr>
          <w:rFonts w:eastAsia="Times New Roman"/>
          <w:szCs w:val="21"/>
          <w:lang w:eastAsia="de-DE"/>
        </w:rPr>
      </w:pPr>
      <w:r w:rsidRPr="00B77F92">
        <w:rPr>
          <w:rFonts w:eastAsia="Times New Roman"/>
          <w:szCs w:val="21"/>
          <w:lang w:eastAsia="de-DE"/>
        </w:rPr>
        <w:t>–</w:t>
      </w:r>
      <w:r w:rsidRPr="00B77F92">
        <w:rPr>
          <w:rFonts w:eastAsia="Times New Roman"/>
          <w:szCs w:val="21"/>
          <w:lang w:eastAsia="de-DE"/>
        </w:rPr>
        <w:tab/>
        <w:t>Liechtenstein:</w:t>
      </w:r>
    </w:p>
    <w:p w:rsidR="00B77F92" w:rsidRPr="00B77F92" w:rsidRDefault="00B77F92" w:rsidP="00354A93">
      <w:pPr>
        <w:tabs>
          <w:tab w:val="left" w:pos="2552"/>
        </w:tabs>
        <w:spacing w:after="120"/>
        <w:ind w:left="2835" w:hanging="567"/>
        <w:rPr>
          <w:rFonts w:eastAsia="Times New Roman"/>
          <w:szCs w:val="21"/>
          <w:lang w:eastAsia="de-DE"/>
        </w:rPr>
      </w:pPr>
      <w:r w:rsidRPr="00B77F92">
        <w:rPr>
          <w:rFonts w:eastAsia="Times New Roman"/>
          <w:szCs w:val="21"/>
          <w:lang w:eastAsia="de-DE"/>
        </w:rPr>
        <w:t>die Kollektivgesellschaft, die Kommanditgesellschaft,</w:t>
      </w:r>
    </w:p>
    <w:p w:rsidR="00B77F92" w:rsidRPr="00B77F92" w:rsidRDefault="00B77F92" w:rsidP="00354A93">
      <w:pPr>
        <w:tabs>
          <w:tab w:val="left" w:pos="2552"/>
        </w:tabs>
        <w:spacing w:after="120"/>
        <w:ind w:left="2268" w:hanging="567"/>
        <w:rPr>
          <w:rFonts w:eastAsia="Times New Roman"/>
          <w:szCs w:val="21"/>
          <w:lang w:eastAsia="de-DE"/>
        </w:rPr>
      </w:pPr>
      <w:r w:rsidRPr="00B77F92">
        <w:rPr>
          <w:rFonts w:eastAsia="Times New Roman"/>
          <w:szCs w:val="21"/>
          <w:lang w:eastAsia="de-DE"/>
        </w:rPr>
        <w:t>–</w:t>
      </w:r>
      <w:r w:rsidRPr="00B77F92">
        <w:rPr>
          <w:rFonts w:eastAsia="Times New Roman"/>
          <w:szCs w:val="21"/>
          <w:lang w:eastAsia="de-DE"/>
        </w:rPr>
        <w:tab/>
        <w:t>Noregur:</w:t>
      </w:r>
    </w:p>
    <w:p w:rsidR="00B77F92" w:rsidRPr="00B77F92" w:rsidRDefault="00B77F92" w:rsidP="00354A93">
      <w:pPr>
        <w:tabs>
          <w:tab w:val="left" w:pos="2552"/>
        </w:tabs>
        <w:spacing w:after="120"/>
        <w:ind w:left="2835" w:hanging="567"/>
        <w:rPr>
          <w:rFonts w:eastAsia="Times New Roman"/>
          <w:szCs w:val="21"/>
          <w:lang w:eastAsia="de-DE"/>
        </w:rPr>
      </w:pPr>
      <w:r w:rsidRPr="00B77F92">
        <w:rPr>
          <w:rFonts w:eastAsia="Times New Roman"/>
          <w:szCs w:val="21"/>
          <w:lang w:eastAsia="de-DE"/>
        </w:rPr>
        <w:t>partrederi, ansvarlig selskap, kommandittselskap.““</w:t>
      </w:r>
    </w:p>
    <w:p w:rsidR="00B77F92" w:rsidRPr="00B77F92" w:rsidRDefault="00B77F92" w:rsidP="00B77F92">
      <w:pPr>
        <w:tabs>
          <w:tab w:val="left" w:pos="2552"/>
        </w:tabs>
        <w:spacing w:after="120"/>
        <w:ind w:left="709" w:hanging="709"/>
        <w:rPr>
          <w:rFonts w:eastAsia="Times New Roman"/>
          <w:szCs w:val="21"/>
          <w:lang w:eastAsia="de-DE"/>
        </w:rPr>
      </w:pPr>
      <w:r w:rsidRPr="00B77F92">
        <w:rPr>
          <w:rFonts w:eastAsia="Times New Roman"/>
          <w:szCs w:val="21"/>
          <w:lang w:eastAsia="de-DE"/>
        </w:rPr>
        <w:t>3.</w:t>
      </w:r>
      <w:r w:rsidRPr="00B77F92">
        <w:rPr>
          <w:rFonts w:eastAsia="Times New Roman"/>
          <w:szCs w:val="21"/>
          <w:lang w:eastAsia="de-DE"/>
        </w:rPr>
        <w:tab/>
        <w:t>Texti 4. liðar (fjórða tilskipun ráðsins 78/660/EBE) og 6. liðar (sjöunda tilskipun ráðsins 83/349/EBE) falli brott.</w:t>
      </w:r>
    </w:p>
    <w:p w:rsidR="00B77F92" w:rsidRPr="00B77F92" w:rsidRDefault="00B77F92" w:rsidP="00B77F92">
      <w:pPr>
        <w:keepNext/>
        <w:spacing w:before="240" w:after="120"/>
        <w:ind w:firstLine="0"/>
        <w:jc w:val="center"/>
        <w:rPr>
          <w:rFonts w:eastAsia="Times New Roman"/>
          <w:i/>
          <w:szCs w:val="21"/>
          <w:lang w:eastAsia="de-DE"/>
        </w:rPr>
      </w:pPr>
      <w:r w:rsidRPr="00B77F92">
        <w:rPr>
          <w:rFonts w:eastAsia="Times New Roman"/>
          <w:i/>
          <w:szCs w:val="21"/>
          <w:lang w:eastAsia="de-DE"/>
        </w:rPr>
        <w:t>2. gr.</w:t>
      </w:r>
    </w:p>
    <w:p w:rsidR="00B77F92" w:rsidRPr="00B77F92" w:rsidRDefault="00B77F92" w:rsidP="00B77F92">
      <w:pPr>
        <w:spacing w:before="120" w:after="120"/>
        <w:ind w:firstLine="0"/>
        <w:rPr>
          <w:rFonts w:eastAsia="Times New Roman"/>
          <w:szCs w:val="21"/>
          <w:lang w:eastAsia="de-DE"/>
        </w:rPr>
      </w:pPr>
      <w:r w:rsidRPr="00B77F92">
        <w:rPr>
          <w:rFonts w:eastAsia="Times New Roman"/>
          <w:szCs w:val="21"/>
          <w:lang w:eastAsia="de-DE"/>
        </w:rPr>
        <w:t>Íslenskur og norskur texti tilskipunar 2013/34/ESB, sem verður birt</w:t>
      </w:r>
      <w:r w:rsidRPr="00B77F92">
        <w:rPr>
          <w:rFonts w:eastAsia="Times New Roman"/>
          <w:szCs w:val="21"/>
          <w:lang w:eastAsia="de-DE"/>
        </w:rPr>
        <w:softHyphen/>
        <w:t xml:space="preserve">ur í </w:t>
      </w:r>
      <w:r w:rsidRPr="00B77F92">
        <w:rPr>
          <w:rFonts w:eastAsia="Times New Roman"/>
          <w:i/>
          <w:szCs w:val="21"/>
          <w:lang w:eastAsia="de-DE"/>
        </w:rPr>
        <w:t>EES-viðbæti við Stjórn</w:t>
      </w:r>
      <w:r w:rsidRPr="00B77F92">
        <w:rPr>
          <w:rFonts w:eastAsia="Times New Roman"/>
          <w:i/>
          <w:szCs w:val="21"/>
          <w:lang w:eastAsia="de-DE"/>
        </w:rPr>
        <w:softHyphen/>
        <w:t>ar</w:t>
      </w:r>
      <w:r w:rsidRPr="00B77F92">
        <w:rPr>
          <w:rFonts w:eastAsia="Times New Roman"/>
          <w:i/>
          <w:szCs w:val="21"/>
          <w:lang w:eastAsia="de-DE"/>
        </w:rPr>
        <w:softHyphen/>
        <w:t>tíð</w:t>
      </w:r>
      <w:r w:rsidRPr="00B77F92">
        <w:rPr>
          <w:rFonts w:eastAsia="Times New Roman"/>
          <w:i/>
          <w:szCs w:val="21"/>
          <w:lang w:eastAsia="de-DE"/>
        </w:rPr>
        <w:softHyphen/>
        <w:t>ind</w:t>
      </w:r>
      <w:r w:rsidRPr="00B77F92">
        <w:rPr>
          <w:rFonts w:eastAsia="Times New Roman"/>
          <w:i/>
          <w:szCs w:val="21"/>
          <w:lang w:eastAsia="de-DE"/>
        </w:rPr>
        <w:softHyphen/>
        <w:t>i Evrópu</w:t>
      </w:r>
      <w:r w:rsidRPr="00B77F92">
        <w:rPr>
          <w:rFonts w:eastAsia="Times New Roman"/>
          <w:i/>
          <w:szCs w:val="21"/>
          <w:lang w:eastAsia="de-DE"/>
        </w:rPr>
        <w:softHyphen/>
        <w:t>sam</w:t>
      </w:r>
      <w:r w:rsidRPr="00B77F92">
        <w:rPr>
          <w:rFonts w:eastAsia="Times New Roman"/>
          <w:i/>
          <w:szCs w:val="21"/>
          <w:lang w:eastAsia="de-DE"/>
        </w:rPr>
        <w:softHyphen/>
        <w:t>bandsins</w:t>
      </w:r>
      <w:r w:rsidRPr="00B77F92">
        <w:rPr>
          <w:rFonts w:eastAsia="Times New Roman"/>
          <w:szCs w:val="21"/>
          <w:lang w:eastAsia="de-DE"/>
        </w:rPr>
        <w:t>, telst fullgiltur.</w:t>
      </w:r>
    </w:p>
    <w:p w:rsidR="00B77F92" w:rsidRPr="00B77F92" w:rsidRDefault="00B77F92" w:rsidP="00B77F92">
      <w:pPr>
        <w:keepNext/>
        <w:spacing w:before="240" w:after="120"/>
        <w:ind w:firstLine="0"/>
        <w:jc w:val="center"/>
        <w:rPr>
          <w:rFonts w:eastAsia="Times New Roman"/>
          <w:i/>
          <w:szCs w:val="21"/>
          <w:lang w:eastAsia="de-DE"/>
        </w:rPr>
      </w:pPr>
      <w:r w:rsidRPr="00B77F92">
        <w:rPr>
          <w:rFonts w:eastAsia="Times New Roman"/>
          <w:i/>
          <w:szCs w:val="21"/>
          <w:lang w:eastAsia="de-DE"/>
        </w:rPr>
        <w:t>3. gr.</w:t>
      </w:r>
    </w:p>
    <w:p w:rsidR="00B77F92" w:rsidRPr="00B77F92" w:rsidRDefault="00B77F92" w:rsidP="00B77F92">
      <w:pPr>
        <w:spacing w:before="120" w:after="120"/>
        <w:ind w:firstLine="0"/>
        <w:rPr>
          <w:rFonts w:eastAsia="Times New Roman"/>
          <w:szCs w:val="21"/>
          <w:lang w:eastAsia="de-DE"/>
        </w:rPr>
      </w:pPr>
      <w:r w:rsidRPr="00B77F92">
        <w:rPr>
          <w:rFonts w:eastAsia="Times New Roman"/>
          <w:szCs w:val="21"/>
          <w:lang w:eastAsia="de-DE"/>
        </w:rPr>
        <w:t>Ákvörð</w:t>
      </w:r>
      <w:r w:rsidRPr="00B77F92">
        <w:rPr>
          <w:rFonts w:eastAsia="Times New Roman"/>
          <w:szCs w:val="21"/>
          <w:lang w:eastAsia="de-DE"/>
        </w:rPr>
        <w:softHyphen/>
        <w:t>un þessi öðlast gildi 1. nóvember 2015, að því tilskildu að allar til</w:t>
      </w:r>
      <w:r w:rsidRPr="00B77F92">
        <w:rPr>
          <w:rFonts w:eastAsia="Times New Roman"/>
          <w:szCs w:val="21"/>
          <w:lang w:eastAsia="de-DE"/>
        </w:rPr>
        <w:softHyphen/>
        <w:t>kynn</w:t>
      </w:r>
      <w:r w:rsidRPr="00B77F92">
        <w:rPr>
          <w:rFonts w:eastAsia="Times New Roman"/>
          <w:szCs w:val="21"/>
          <w:lang w:eastAsia="de-DE"/>
        </w:rPr>
        <w:softHyphen/>
        <w:t>ingar sam</w:t>
      </w:r>
      <w:r w:rsidRPr="00B77F92">
        <w:rPr>
          <w:rFonts w:eastAsia="Times New Roman"/>
          <w:szCs w:val="21"/>
          <w:lang w:eastAsia="de-DE"/>
        </w:rPr>
        <w:softHyphen/>
        <w:t>kvæmt 1. mgr. 103. gr. EES-samn</w:t>
      </w:r>
      <w:r w:rsidRPr="00B77F92">
        <w:rPr>
          <w:rFonts w:eastAsia="Times New Roman"/>
          <w:szCs w:val="21"/>
          <w:lang w:eastAsia="de-DE"/>
        </w:rPr>
        <w:softHyphen/>
        <w:t>ings</w:t>
      </w:r>
      <w:r w:rsidRPr="00B77F92">
        <w:rPr>
          <w:rFonts w:eastAsia="Times New Roman"/>
          <w:szCs w:val="21"/>
          <w:lang w:eastAsia="de-DE"/>
        </w:rPr>
        <w:softHyphen/>
        <w:t>ins hafi borist (</w:t>
      </w:r>
      <w:r w:rsidRPr="00B77F92">
        <w:rPr>
          <w:rFonts w:eastAsia="Times New Roman"/>
          <w:szCs w:val="21"/>
          <w:vertAlign w:val="superscript"/>
          <w:lang w:eastAsia="de-DE"/>
        </w:rPr>
        <w:footnoteReference w:customMarkFollows="1" w:id="4"/>
        <w:t>*</w:t>
      </w:r>
      <w:r w:rsidRPr="00B77F92">
        <w:rPr>
          <w:rFonts w:eastAsia="Times New Roman"/>
          <w:szCs w:val="21"/>
          <w:lang w:eastAsia="de-DE"/>
        </w:rPr>
        <w:t>).</w:t>
      </w:r>
      <w:r w:rsidRPr="00B77F92">
        <w:rPr>
          <w:rFonts w:eastAsia="Times New Roman"/>
          <w:szCs w:val="21"/>
          <w:lang w:eastAsia="de-DE"/>
        </w:rPr>
        <w:tab/>
      </w:r>
    </w:p>
    <w:p w:rsidR="00E63B97" w:rsidRDefault="00E63B97">
      <w:pPr>
        <w:ind w:firstLine="0"/>
        <w:jc w:val="left"/>
        <w:rPr>
          <w:rFonts w:eastAsia="Times New Roman"/>
          <w:i/>
          <w:szCs w:val="21"/>
          <w:lang w:eastAsia="de-DE"/>
        </w:rPr>
      </w:pPr>
      <w:r>
        <w:rPr>
          <w:rFonts w:eastAsia="Times New Roman"/>
          <w:i/>
          <w:szCs w:val="21"/>
          <w:lang w:eastAsia="de-DE"/>
        </w:rPr>
        <w:br w:type="page"/>
      </w:r>
    </w:p>
    <w:p w:rsidR="00B77F92" w:rsidRPr="00B77F92" w:rsidRDefault="00B77F92" w:rsidP="00B77F92">
      <w:pPr>
        <w:keepNext/>
        <w:spacing w:before="240" w:after="120"/>
        <w:ind w:firstLine="0"/>
        <w:jc w:val="center"/>
        <w:rPr>
          <w:rFonts w:eastAsia="Times New Roman"/>
          <w:i/>
          <w:szCs w:val="21"/>
          <w:lang w:eastAsia="de-DE"/>
        </w:rPr>
      </w:pPr>
      <w:r w:rsidRPr="00B77F92">
        <w:rPr>
          <w:rFonts w:eastAsia="Times New Roman"/>
          <w:i/>
          <w:szCs w:val="21"/>
          <w:lang w:eastAsia="de-DE"/>
        </w:rPr>
        <w:lastRenderedPageBreak/>
        <w:t>4. gr.</w:t>
      </w:r>
    </w:p>
    <w:p w:rsidR="00B77F92" w:rsidRPr="00B77F92" w:rsidRDefault="00B77F92" w:rsidP="004823A0">
      <w:pPr>
        <w:spacing w:before="120" w:after="120"/>
        <w:ind w:firstLine="0"/>
        <w:rPr>
          <w:rFonts w:eastAsia="Times New Roman"/>
          <w:szCs w:val="21"/>
          <w:lang w:eastAsia="de-DE"/>
        </w:rPr>
      </w:pPr>
      <w:r w:rsidRPr="00B77F92">
        <w:rPr>
          <w:rFonts w:eastAsia="Times New Roman"/>
          <w:szCs w:val="21"/>
          <w:lang w:eastAsia="de-DE"/>
        </w:rPr>
        <w:t>Ákvörð</w:t>
      </w:r>
      <w:r w:rsidRPr="00B77F92">
        <w:rPr>
          <w:rFonts w:eastAsia="Times New Roman"/>
          <w:szCs w:val="21"/>
          <w:lang w:eastAsia="de-DE"/>
        </w:rPr>
        <w:softHyphen/>
        <w:t xml:space="preserve">un þessi skal birt í EES-deild </w:t>
      </w:r>
      <w:r w:rsidRPr="00B77F92">
        <w:rPr>
          <w:rFonts w:eastAsia="Times New Roman"/>
          <w:i/>
          <w:szCs w:val="21"/>
          <w:lang w:eastAsia="de-DE"/>
        </w:rPr>
        <w:t>Stjórn</w:t>
      </w:r>
      <w:r w:rsidRPr="00B77F92">
        <w:rPr>
          <w:rFonts w:eastAsia="Times New Roman"/>
          <w:i/>
          <w:szCs w:val="21"/>
          <w:lang w:eastAsia="de-DE"/>
        </w:rPr>
        <w:softHyphen/>
        <w:t>ar</w:t>
      </w:r>
      <w:r w:rsidRPr="00B77F92">
        <w:rPr>
          <w:rFonts w:eastAsia="Times New Roman"/>
          <w:i/>
          <w:szCs w:val="21"/>
          <w:lang w:eastAsia="de-DE"/>
        </w:rPr>
        <w:softHyphen/>
        <w:t>tíð</w:t>
      </w:r>
      <w:r w:rsidRPr="00B77F92">
        <w:rPr>
          <w:rFonts w:eastAsia="Times New Roman"/>
          <w:i/>
          <w:szCs w:val="21"/>
          <w:lang w:eastAsia="de-DE"/>
        </w:rPr>
        <w:softHyphen/>
        <w:t>ind</w:t>
      </w:r>
      <w:r w:rsidRPr="00B77F92">
        <w:rPr>
          <w:rFonts w:eastAsia="Times New Roman"/>
          <w:i/>
          <w:szCs w:val="21"/>
          <w:lang w:eastAsia="de-DE"/>
        </w:rPr>
        <w:softHyphen/>
        <w:t>a Evrópu</w:t>
      </w:r>
      <w:r w:rsidRPr="00B77F92">
        <w:rPr>
          <w:rFonts w:eastAsia="Times New Roman"/>
          <w:i/>
          <w:szCs w:val="21"/>
          <w:lang w:eastAsia="de-DE"/>
        </w:rPr>
        <w:softHyphen/>
        <w:t>sam</w:t>
      </w:r>
      <w:r w:rsidRPr="00B77F92">
        <w:rPr>
          <w:rFonts w:eastAsia="Times New Roman"/>
          <w:i/>
          <w:szCs w:val="21"/>
          <w:lang w:eastAsia="de-DE"/>
        </w:rPr>
        <w:softHyphen/>
        <w:t>bandsins</w:t>
      </w:r>
      <w:r w:rsidRPr="00B77F92">
        <w:rPr>
          <w:rFonts w:eastAsia="Times New Roman"/>
          <w:szCs w:val="21"/>
          <w:lang w:eastAsia="de-DE"/>
        </w:rPr>
        <w:t xml:space="preserve"> og EES-viðbæti við þau.</w:t>
      </w:r>
    </w:p>
    <w:p w:rsidR="00B77F92" w:rsidRPr="00B77F92" w:rsidRDefault="00B77F92" w:rsidP="00B77F92">
      <w:pPr>
        <w:keepNext/>
        <w:tabs>
          <w:tab w:val="left" w:pos="4252"/>
        </w:tabs>
        <w:spacing w:before="180"/>
        <w:ind w:firstLine="0"/>
        <w:rPr>
          <w:rFonts w:eastAsia="Times New Roman"/>
          <w:i/>
          <w:szCs w:val="21"/>
          <w:lang w:eastAsia="de-DE"/>
        </w:rPr>
      </w:pPr>
    </w:p>
    <w:p w:rsidR="00B77F92" w:rsidRPr="00B77F92" w:rsidRDefault="00B77F92" w:rsidP="00B77F92">
      <w:pPr>
        <w:tabs>
          <w:tab w:val="left" w:pos="4252"/>
        </w:tabs>
        <w:spacing w:before="180"/>
        <w:ind w:firstLine="0"/>
        <w:jc w:val="center"/>
        <w:rPr>
          <w:rFonts w:eastAsia="Times New Roman"/>
          <w:szCs w:val="21"/>
          <w:lang w:eastAsia="de-DE"/>
        </w:rPr>
      </w:pPr>
      <w:r w:rsidRPr="00B77F92">
        <w:rPr>
          <w:rFonts w:eastAsia="Times New Roman"/>
          <w:szCs w:val="21"/>
          <w:lang w:eastAsia="de-DE"/>
        </w:rPr>
        <w:t>Gjört í Brussel 30. október 2015.</w:t>
      </w:r>
    </w:p>
    <w:p w:rsidR="00B77F92" w:rsidRPr="00B77F92" w:rsidRDefault="00B77F92" w:rsidP="00B77F92">
      <w:pPr>
        <w:tabs>
          <w:tab w:val="left" w:pos="4252"/>
        </w:tabs>
        <w:spacing w:before="180"/>
        <w:ind w:firstLine="0"/>
        <w:jc w:val="center"/>
        <w:rPr>
          <w:rFonts w:eastAsia="Times New Roman"/>
          <w:szCs w:val="21"/>
          <w:lang w:eastAsia="de-DE"/>
        </w:rPr>
      </w:pPr>
      <w:r w:rsidRPr="00B77F92">
        <w:rPr>
          <w:rFonts w:eastAsia="Times New Roman"/>
          <w:szCs w:val="21"/>
          <w:lang w:eastAsia="de-DE"/>
        </w:rPr>
        <w:t>Fyrir hönd sam</w:t>
      </w:r>
      <w:r w:rsidRPr="00B77F92">
        <w:rPr>
          <w:rFonts w:eastAsia="Times New Roman"/>
          <w:szCs w:val="21"/>
          <w:lang w:eastAsia="de-DE"/>
        </w:rPr>
        <w:softHyphen/>
        <w:t>eigin</w:t>
      </w:r>
      <w:r w:rsidRPr="00B77F92">
        <w:rPr>
          <w:rFonts w:eastAsia="Times New Roman"/>
          <w:szCs w:val="21"/>
          <w:lang w:eastAsia="de-DE"/>
        </w:rPr>
        <w:softHyphen/>
        <w:t>legu EES-nefnd</w:t>
      </w:r>
      <w:r w:rsidRPr="00B77F92">
        <w:rPr>
          <w:rFonts w:eastAsia="Times New Roman"/>
          <w:szCs w:val="21"/>
          <w:lang w:eastAsia="de-DE"/>
        </w:rPr>
        <w:softHyphen/>
        <w:t>ar</w:t>
      </w:r>
      <w:r w:rsidRPr="00B77F92">
        <w:rPr>
          <w:rFonts w:eastAsia="Times New Roman"/>
          <w:szCs w:val="21"/>
          <w:lang w:eastAsia="de-DE"/>
        </w:rPr>
        <w:softHyphen/>
        <w:t>inn</w:t>
      </w:r>
      <w:r w:rsidRPr="00B77F92">
        <w:rPr>
          <w:rFonts w:eastAsia="Times New Roman"/>
          <w:szCs w:val="21"/>
          <w:lang w:eastAsia="de-DE"/>
        </w:rPr>
        <w:softHyphen/>
        <w:t>ar</w:t>
      </w:r>
      <w:r w:rsidRPr="00B77F92">
        <w:rPr>
          <w:rFonts w:eastAsia="Times New Roman"/>
          <w:szCs w:val="21"/>
          <w:lang w:eastAsia="de-DE"/>
        </w:rPr>
        <w:softHyphen/>
      </w:r>
    </w:p>
    <w:p w:rsidR="00B77F92" w:rsidRPr="00B77F92" w:rsidRDefault="00B77F92" w:rsidP="00B77F92">
      <w:pPr>
        <w:tabs>
          <w:tab w:val="left" w:pos="4252"/>
        </w:tabs>
        <w:spacing w:before="180"/>
        <w:ind w:firstLine="0"/>
        <w:jc w:val="center"/>
        <w:rPr>
          <w:rFonts w:eastAsia="Times New Roman"/>
          <w:b/>
          <w:i/>
          <w:szCs w:val="21"/>
          <w:lang w:eastAsia="de-DE"/>
        </w:rPr>
      </w:pPr>
      <w:r w:rsidRPr="00B77F92">
        <w:rPr>
          <w:rFonts w:eastAsia="Times New Roman"/>
          <w:b/>
          <w:i/>
          <w:szCs w:val="21"/>
          <w:lang w:eastAsia="de-DE"/>
        </w:rPr>
        <w:t>Oda Sletnes</w:t>
      </w:r>
    </w:p>
    <w:p w:rsidR="00B77F92" w:rsidRPr="00B77F92" w:rsidRDefault="00B77F92" w:rsidP="00B77F92">
      <w:pPr>
        <w:tabs>
          <w:tab w:val="left" w:pos="4252"/>
        </w:tabs>
        <w:spacing w:before="180"/>
        <w:ind w:firstLine="0"/>
        <w:jc w:val="center"/>
        <w:rPr>
          <w:rFonts w:eastAsia="Times New Roman"/>
          <w:szCs w:val="21"/>
          <w:lang w:eastAsia="de-DE"/>
        </w:rPr>
      </w:pPr>
      <w:r w:rsidRPr="00B77F92">
        <w:rPr>
          <w:rFonts w:eastAsia="Times New Roman"/>
          <w:szCs w:val="21"/>
          <w:lang w:eastAsia="de-DE"/>
        </w:rPr>
        <w:t>formaður.</w:t>
      </w:r>
    </w:p>
    <w:p w:rsidR="00354A93" w:rsidRPr="00354A93" w:rsidRDefault="00354A93" w:rsidP="00B77F92">
      <w:pPr>
        <w:rPr>
          <w:rFonts w:eastAsia="Times New Roman"/>
          <w:sz w:val="24"/>
          <w:szCs w:val="21"/>
          <w:lang w:eastAsia="de-DE"/>
        </w:rPr>
      </w:pPr>
    </w:p>
    <w:p w:rsidR="00CC41C6" w:rsidRDefault="00CC41C6" w:rsidP="00354A93">
      <w:pPr>
        <w:ind w:firstLine="0"/>
        <w:rPr>
          <w:rFonts w:eastAsia="Times New Roman"/>
          <w:b/>
          <w:sz w:val="24"/>
          <w:szCs w:val="21"/>
          <w:u w:val="single"/>
          <w:lang w:eastAsia="de-DE"/>
        </w:rPr>
      </w:pPr>
    </w:p>
    <w:p w:rsidR="00CC41C6" w:rsidRDefault="00CC41C6" w:rsidP="00354A93">
      <w:pPr>
        <w:ind w:firstLine="0"/>
        <w:rPr>
          <w:rFonts w:eastAsia="Times New Roman"/>
          <w:b/>
          <w:sz w:val="24"/>
          <w:szCs w:val="21"/>
          <w:u w:val="single"/>
          <w:lang w:eastAsia="de-DE"/>
        </w:rPr>
      </w:pPr>
    </w:p>
    <w:p w:rsidR="00354A93" w:rsidRPr="00354A93" w:rsidRDefault="00354A93" w:rsidP="00354A93">
      <w:pPr>
        <w:ind w:firstLine="0"/>
        <w:rPr>
          <w:rFonts w:eastAsia="Times New Roman"/>
          <w:b/>
          <w:sz w:val="24"/>
          <w:szCs w:val="21"/>
          <w:u w:val="single"/>
          <w:lang w:eastAsia="de-DE"/>
        </w:rPr>
      </w:pPr>
      <w:r w:rsidRPr="00354A93">
        <w:rPr>
          <w:rFonts w:eastAsia="Times New Roman"/>
          <w:b/>
          <w:sz w:val="24"/>
          <w:szCs w:val="21"/>
          <w:u w:val="single"/>
          <w:lang w:eastAsia="de-DE"/>
        </w:rPr>
        <w:t>Fylgiskjal II.</w:t>
      </w:r>
    </w:p>
    <w:p w:rsidR="00354A93" w:rsidRPr="00354A93" w:rsidRDefault="00354A93" w:rsidP="00354A93">
      <w:pPr>
        <w:rPr>
          <w:rFonts w:eastAsia="Times New Roman"/>
          <w:sz w:val="24"/>
          <w:szCs w:val="21"/>
          <w:lang w:eastAsia="de-DE"/>
        </w:rPr>
      </w:pPr>
    </w:p>
    <w:p w:rsidR="00354A93" w:rsidRDefault="00354A93" w:rsidP="00354A93">
      <w:pPr>
        <w:jc w:val="center"/>
        <w:rPr>
          <w:rFonts w:eastAsia="Times New Roman"/>
          <w:b/>
          <w:sz w:val="24"/>
          <w:szCs w:val="21"/>
          <w:lang w:eastAsia="de-DE"/>
        </w:rPr>
      </w:pPr>
      <w:r w:rsidRPr="00354A93">
        <w:rPr>
          <w:rFonts w:eastAsia="Times New Roman"/>
          <w:b/>
          <w:sz w:val="24"/>
          <w:szCs w:val="21"/>
          <w:lang w:eastAsia="de-DE"/>
        </w:rPr>
        <w:t>Tilskipun Evrópuþingsins og ráðsins 2</w:t>
      </w:r>
      <w:r w:rsidR="00041B70">
        <w:rPr>
          <w:rFonts w:eastAsia="Times New Roman"/>
          <w:b/>
          <w:sz w:val="24"/>
          <w:szCs w:val="21"/>
          <w:lang w:eastAsia="de-DE"/>
        </w:rPr>
        <w:t xml:space="preserve">013/34/ESB frá 26. júní 2013 um </w:t>
      </w:r>
      <w:r w:rsidRPr="00354A93">
        <w:rPr>
          <w:rFonts w:eastAsia="Times New Roman"/>
          <w:b/>
          <w:sz w:val="24"/>
          <w:szCs w:val="21"/>
          <w:lang w:eastAsia="de-DE"/>
        </w:rPr>
        <w:t>árleg reikningsskil, samstæðureikningsskil og tilheyrandi skýrsl</w:t>
      </w:r>
      <w:r>
        <w:rPr>
          <w:rFonts w:eastAsia="Times New Roman"/>
          <w:b/>
          <w:sz w:val="24"/>
          <w:szCs w:val="21"/>
          <w:lang w:eastAsia="de-DE"/>
        </w:rPr>
        <w:t>ur</w:t>
      </w:r>
    </w:p>
    <w:p w:rsidR="00354A93" w:rsidRDefault="00354A93" w:rsidP="00354A93">
      <w:pPr>
        <w:jc w:val="center"/>
        <w:rPr>
          <w:rFonts w:eastAsia="Times New Roman"/>
          <w:b/>
          <w:sz w:val="24"/>
          <w:szCs w:val="21"/>
          <w:lang w:eastAsia="de-DE"/>
        </w:rPr>
      </w:pPr>
      <w:r w:rsidRPr="00354A93">
        <w:rPr>
          <w:rFonts w:eastAsia="Times New Roman"/>
          <w:b/>
          <w:sz w:val="24"/>
          <w:szCs w:val="21"/>
          <w:lang w:eastAsia="de-DE"/>
        </w:rPr>
        <w:t>tiltekinna tegunda fyrir</w:t>
      </w:r>
      <w:r>
        <w:rPr>
          <w:rFonts w:eastAsia="Times New Roman"/>
          <w:b/>
          <w:sz w:val="24"/>
          <w:szCs w:val="21"/>
          <w:lang w:eastAsia="de-DE"/>
        </w:rPr>
        <w:t>tækja, um breytingu á tilskipun</w:t>
      </w:r>
    </w:p>
    <w:p w:rsidR="00354A93" w:rsidRDefault="00354A93" w:rsidP="00354A93">
      <w:pPr>
        <w:jc w:val="center"/>
        <w:rPr>
          <w:rFonts w:eastAsia="Times New Roman"/>
          <w:b/>
          <w:sz w:val="24"/>
          <w:szCs w:val="21"/>
          <w:lang w:eastAsia="de-DE"/>
        </w:rPr>
      </w:pPr>
      <w:r w:rsidRPr="00354A93">
        <w:rPr>
          <w:rFonts w:eastAsia="Times New Roman"/>
          <w:b/>
          <w:sz w:val="24"/>
          <w:szCs w:val="21"/>
          <w:lang w:eastAsia="de-DE"/>
        </w:rPr>
        <w:t>Evrópuþingsins og ráðsins 2006/43</w:t>
      </w:r>
      <w:r>
        <w:rPr>
          <w:rFonts w:eastAsia="Times New Roman"/>
          <w:b/>
          <w:sz w:val="24"/>
          <w:szCs w:val="21"/>
          <w:lang w:eastAsia="de-DE"/>
        </w:rPr>
        <w:t>/EB og niðurfellingu</w:t>
      </w:r>
    </w:p>
    <w:p w:rsidR="00354A93" w:rsidRPr="00354A93" w:rsidRDefault="00354A93" w:rsidP="00354A93">
      <w:pPr>
        <w:jc w:val="center"/>
        <w:rPr>
          <w:rFonts w:eastAsia="Times New Roman"/>
          <w:b/>
          <w:sz w:val="24"/>
          <w:szCs w:val="21"/>
          <w:lang w:eastAsia="de-DE"/>
        </w:rPr>
      </w:pPr>
      <w:r w:rsidRPr="00354A93">
        <w:rPr>
          <w:rFonts w:eastAsia="Times New Roman"/>
          <w:b/>
          <w:sz w:val="24"/>
          <w:szCs w:val="21"/>
          <w:lang w:eastAsia="de-DE"/>
        </w:rPr>
        <w:t>tilskipana ráðsins 78/660/EBE og 83/349/EBE.</w:t>
      </w:r>
    </w:p>
    <w:p w:rsidR="00354A93" w:rsidRPr="00354A93" w:rsidRDefault="00354A93" w:rsidP="00354A93">
      <w:pPr>
        <w:rPr>
          <w:rFonts w:eastAsia="Times New Roman"/>
          <w:sz w:val="24"/>
          <w:szCs w:val="21"/>
          <w:lang w:eastAsia="de-DE"/>
        </w:rPr>
      </w:pPr>
    </w:p>
    <w:p w:rsidR="00894529" w:rsidRDefault="004D523C" w:rsidP="00D90ECC">
      <w:pPr>
        <w:jc w:val="center"/>
      </w:pPr>
      <w:hyperlink r:id="rId8" w:history="1">
        <w:r w:rsidRPr="007A346E">
          <w:rPr>
            <w:rStyle w:val="Hyperlink"/>
          </w:rPr>
          <w:t>www.althingi.is/altext/pdf/145/fylgiskjol/s1110-f_II.pdf</w:t>
        </w:r>
      </w:hyperlink>
    </w:p>
    <w:p w:rsidR="004D523C" w:rsidRPr="00354A93" w:rsidRDefault="004D523C" w:rsidP="00D90ECC">
      <w:pPr>
        <w:jc w:val="center"/>
      </w:pPr>
    </w:p>
    <w:sectPr w:rsidR="004D523C" w:rsidRPr="00354A93" w:rsidSect="00487DBC">
      <w:headerReference w:type="default" r:id="rId9"/>
      <w:headerReference w:type="first" r:id="rId10"/>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9BA" w:rsidRDefault="00E829BA" w:rsidP="00A612D0">
      <w:r>
        <w:separator/>
      </w:r>
    </w:p>
  </w:endnote>
  <w:endnote w:type="continuationSeparator" w:id="0">
    <w:p w:rsidR="00E829BA" w:rsidRDefault="00E829BA" w:rsidP="00A61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9BA" w:rsidRDefault="00E829BA" w:rsidP="00F33179">
      <w:pPr>
        <w:ind w:firstLine="0"/>
      </w:pPr>
      <w:r>
        <w:separator/>
      </w:r>
    </w:p>
  </w:footnote>
  <w:footnote w:type="continuationSeparator" w:id="0">
    <w:p w:rsidR="00E829BA" w:rsidRDefault="00E829BA" w:rsidP="00A612D0">
      <w:r>
        <w:continuationSeparator/>
      </w:r>
    </w:p>
  </w:footnote>
  <w:footnote w:id="1">
    <w:p w:rsidR="00B77F92" w:rsidRPr="00F31C84" w:rsidRDefault="00B77F92" w:rsidP="00B77F92">
      <w:pPr>
        <w:pStyle w:val="FootnoteText"/>
        <w:ind w:left="288" w:hanging="288"/>
        <w:jc w:val="left"/>
      </w:pPr>
      <w:r w:rsidRPr="00F31C84">
        <w:t>(</w:t>
      </w:r>
      <w:r w:rsidRPr="00F31C84">
        <w:rPr>
          <w:rStyle w:val="FootnoteReference"/>
        </w:rPr>
        <w:footnoteRef/>
      </w:r>
      <w:r w:rsidRPr="00F31C84">
        <w:t>)</w:t>
      </w:r>
      <w:r w:rsidRPr="00F31C84">
        <w:tab/>
        <w:t>Stjtíð. ESB L 182, 29.6.2013, bls. 19.</w:t>
      </w:r>
    </w:p>
  </w:footnote>
  <w:footnote w:id="2">
    <w:p w:rsidR="00B77F92" w:rsidRPr="00F31C84" w:rsidRDefault="00B77F92" w:rsidP="00B77F92">
      <w:pPr>
        <w:pStyle w:val="FootnoteText"/>
        <w:ind w:left="288" w:hanging="288"/>
        <w:jc w:val="left"/>
      </w:pPr>
      <w:r w:rsidRPr="00F31C84">
        <w:t>(</w:t>
      </w:r>
      <w:r w:rsidRPr="00F31C84">
        <w:rPr>
          <w:rStyle w:val="FootnoteReference"/>
        </w:rPr>
        <w:footnoteRef/>
      </w:r>
      <w:r w:rsidRPr="00F31C84">
        <w:t>)</w:t>
      </w:r>
      <w:r w:rsidRPr="00F31C84">
        <w:tab/>
        <w:t>Stjtíð. EB L 222, 14.8.1978, bls. 11.</w:t>
      </w:r>
    </w:p>
  </w:footnote>
  <w:footnote w:id="3">
    <w:p w:rsidR="00B77F92" w:rsidRPr="00F31C84" w:rsidRDefault="00B77F92" w:rsidP="00B77F92">
      <w:pPr>
        <w:pStyle w:val="FootnoteText"/>
        <w:ind w:left="288" w:hanging="288"/>
        <w:jc w:val="left"/>
      </w:pPr>
      <w:r w:rsidRPr="00F31C84">
        <w:t>(</w:t>
      </w:r>
      <w:r w:rsidRPr="00F31C84">
        <w:rPr>
          <w:rStyle w:val="FootnoteReference"/>
        </w:rPr>
        <w:footnoteRef/>
      </w:r>
      <w:r w:rsidRPr="00F31C84">
        <w:t>)</w:t>
      </w:r>
      <w:r w:rsidRPr="00F31C84">
        <w:tab/>
        <w:t>Stjtíð. EB L 193, 18.7.1983, bls. 1.</w:t>
      </w:r>
    </w:p>
  </w:footnote>
  <w:footnote w:id="4">
    <w:p w:rsidR="00B77F92" w:rsidRPr="00606F0C" w:rsidRDefault="00B77F92" w:rsidP="00B77F92">
      <w:pPr>
        <w:pStyle w:val="FootnoteText"/>
        <w:ind w:left="288" w:hanging="288"/>
        <w:jc w:val="left"/>
      </w:pPr>
      <w:r w:rsidRPr="00F31C84">
        <w:t>(</w:t>
      </w:r>
      <w:r w:rsidRPr="00F31C84">
        <w:rPr>
          <w:rStyle w:val="FootnoteReference"/>
        </w:rPr>
        <w:t>*</w:t>
      </w:r>
      <w:r w:rsidRPr="00F31C84">
        <w:t>)</w:t>
      </w:r>
      <w:r w:rsidRPr="00F31C84">
        <w:tab/>
        <w:t>Stjórnskipuleg skilyrði gefin til kynna.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2D0" w:rsidRDefault="00A612D0" w:rsidP="00A612D0">
    <w:pPr>
      <w:pStyle w:val="Header"/>
      <w:tabs>
        <w:tab w:val="clear" w:pos="4536"/>
        <w:tab w:val="clear" w:pos="9072"/>
        <w:tab w:val="center" w:pos="3969"/>
        <w:tab w:val="right" w:pos="7797"/>
      </w:tabs>
    </w:pPr>
    <w:r>
      <w:tab/>
    </w:r>
    <w:r w:rsidR="006439EA">
      <w:fldChar w:fldCharType="begin"/>
    </w:r>
    <w:r w:rsidR="006439EA">
      <w:instrText>PAGE   \* MERGEFORMAT</w:instrText>
    </w:r>
    <w:r w:rsidR="006439EA">
      <w:fldChar w:fldCharType="separate"/>
    </w:r>
    <w:r w:rsidR="00F8611D">
      <w:rPr>
        <w:noProof/>
      </w:rPr>
      <w:t>2</w:t>
    </w:r>
    <w:r w:rsidR="006439EA">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71D" w:rsidRDefault="0039471D" w:rsidP="0039471D">
    <w:pPr>
      <w:pStyle w:val="Header"/>
      <w:tabs>
        <w:tab w:val="clear" w:pos="4536"/>
        <w:tab w:val="clear" w:pos="9072"/>
        <w:tab w:val="center" w:pos="3969"/>
        <w:tab w:val="right" w:pos="7797"/>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C26B47E"/>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72BC29FC"/>
    <w:lvl w:ilvl="0">
      <w:start w:val="1"/>
      <w:numFmt w:val="bullet"/>
      <w:lvlText w:val=""/>
      <w:lvlJc w:val="left"/>
      <w:pPr>
        <w:tabs>
          <w:tab w:val="num" w:pos="360"/>
        </w:tabs>
        <w:ind w:left="360" w:hanging="360"/>
      </w:pPr>
      <w:rPr>
        <w:rFonts w:ascii="Symbol" w:hAnsi="Symbol" w:hint="default"/>
      </w:rPr>
    </w:lvl>
  </w:abstractNum>
  <w:abstractNum w:abstractNumId="2">
    <w:nsid w:val="03226B40"/>
    <w:multiLevelType w:val="multilevel"/>
    <w:tmpl w:val="0D70FC7A"/>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3">
    <w:nsid w:val="162A08AB"/>
    <w:multiLevelType w:val="multilevel"/>
    <w:tmpl w:val="5D82DA44"/>
    <w:lvl w:ilvl="0">
      <w:start w:val="1"/>
      <w:numFmt w:val="bullet"/>
      <w:lvlText w:val=""/>
      <w:lvlJc w:val="left"/>
      <w:pPr>
        <w:ind w:left="425" w:hanging="141"/>
      </w:pPr>
      <w:rPr>
        <w:rFonts w:ascii="Symbol" w:hAnsi="Symbol" w:hint="default"/>
        <w:color w:val="auto"/>
      </w:rPr>
    </w:lvl>
    <w:lvl w:ilvl="1">
      <w:start w:val="1"/>
      <w:numFmt w:val="bullet"/>
      <w:lvlText w:val=""/>
      <w:lvlJc w:val="left"/>
      <w:pPr>
        <w:ind w:left="709" w:hanging="141"/>
      </w:pPr>
      <w:rPr>
        <w:rFonts w:ascii="Symbol" w:hAnsi="Symbol" w:hint="default"/>
        <w:color w:val="auto"/>
      </w:rPr>
    </w:lvl>
    <w:lvl w:ilvl="2">
      <w:start w:val="1"/>
      <w:numFmt w:val="bullet"/>
      <w:lvlText w:val=""/>
      <w:lvlJc w:val="left"/>
      <w:pPr>
        <w:ind w:left="993" w:hanging="141"/>
      </w:pPr>
      <w:rPr>
        <w:rFonts w:ascii="Symbol" w:hAnsi="Symbol" w:hint="default"/>
        <w:color w:val="auto"/>
      </w:rPr>
    </w:lvl>
    <w:lvl w:ilvl="3">
      <w:start w:val="1"/>
      <w:numFmt w:val="bullet"/>
      <w:lvlText w:val=""/>
      <w:lvlJc w:val="left"/>
      <w:pPr>
        <w:ind w:left="1277" w:hanging="141"/>
      </w:pPr>
      <w:rPr>
        <w:rFonts w:ascii="Symbol" w:hAnsi="Symbol" w:hint="default"/>
        <w:color w:val="auto"/>
      </w:rPr>
    </w:lvl>
    <w:lvl w:ilvl="4">
      <w:start w:val="1"/>
      <w:numFmt w:val="bullet"/>
      <w:lvlText w:val=""/>
      <w:lvlJc w:val="left"/>
      <w:pPr>
        <w:ind w:left="1561" w:hanging="141"/>
      </w:pPr>
      <w:rPr>
        <w:rFonts w:ascii="Symbol" w:hAnsi="Symbol" w:hint="default"/>
        <w:color w:val="auto"/>
      </w:rPr>
    </w:lvl>
    <w:lvl w:ilvl="5">
      <w:start w:val="1"/>
      <w:numFmt w:val="bullet"/>
      <w:lvlText w:val=""/>
      <w:lvlJc w:val="left"/>
      <w:pPr>
        <w:ind w:left="1845" w:hanging="141"/>
      </w:pPr>
      <w:rPr>
        <w:rFonts w:ascii="Symbol" w:hAnsi="Symbol" w:hint="default"/>
        <w:color w:val="auto"/>
      </w:rPr>
    </w:lvl>
    <w:lvl w:ilvl="6">
      <w:start w:val="1"/>
      <w:numFmt w:val="bullet"/>
      <w:lvlText w:val=""/>
      <w:lvlJc w:val="left"/>
      <w:pPr>
        <w:ind w:left="2129" w:hanging="141"/>
      </w:pPr>
      <w:rPr>
        <w:rFonts w:ascii="Symbol" w:hAnsi="Symbol" w:hint="default"/>
        <w:color w:val="auto"/>
      </w:rPr>
    </w:lvl>
    <w:lvl w:ilvl="7">
      <w:start w:val="1"/>
      <w:numFmt w:val="bullet"/>
      <w:lvlText w:val=""/>
      <w:lvlJc w:val="left"/>
      <w:pPr>
        <w:ind w:left="2413" w:hanging="141"/>
      </w:pPr>
      <w:rPr>
        <w:rFonts w:ascii="Symbol" w:hAnsi="Symbol" w:hint="default"/>
        <w:color w:val="auto"/>
      </w:rPr>
    </w:lvl>
    <w:lvl w:ilvl="8">
      <w:start w:val="1"/>
      <w:numFmt w:val="bullet"/>
      <w:lvlText w:val=""/>
      <w:lvlJc w:val="left"/>
      <w:pPr>
        <w:ind w:left="2693" w:hanging="141"/>
      </w:pPr>
      <w:rPr>
        <w:rFonts w:ascii="Symbol" w:hAnsi="Symbol" w:hint="default"/>
        <w:color w:val="auto"/>
      </w:rPr>
    </w:lvl>
  </w:abstractNum>
  <w:abstractNum w:abstractNumId="4">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5">
    <w:nsid w:val="21AA3392"/>
    <w:multiLevelType w:val="multilevel"/>
    <w:tmpl w:val="BA5CD530"/>
    <w:numStyleLink w:val="Althingi"/>
  </w:abstractNum>
  <w:abstractNum w:abstractNumId="6">
    <w:nsid w:val="29FC60C7"/>
    <w:multiLevelType w:val="multilevel"/>
    <w:tmpl w:val="BA5CD530"/>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7">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8">
    <w:nsid w:val="2BFB66A8"/>
    <w:multiLevelType w:val="multilevel"/>
    <w:tmpl w:val="6F4C556E"/>
    <w:lvl w:ilvl="0">
      <w:start w:val="1"/>
      <w:numFmt w:val="decimal"/>
      <w:lvlText w:val="%1."/>
      <w:lvlJc w:val="right"/>
      <w:pPr>
        <w:tabs>
          <w:tab w:val="num" w:pos="425"/>
        </w:tabs>
        <w:ind w:left="425" w:hanging="141"/>
      </w:pPr>
      <w:rPr>
        <w:rFonts w:ascii="Times New Roman" w:hAnsi="Times New Roman"/>
        <w:b w:val="0"/>
        <w:i w:val="0"/>
        <w:color w:val="auto"/>
        <w:sz w:val="21"/>
        <w:u w:val="none"/>
      </w:rPr>
    </w:lvl>
    <w:lvl w:ilvl="1">
      <w:start w:val="1"/>
      <w:numFmt w:val="lowerLetter"/>
      <w:lvlText w:val="%2."/>
      <w:lvlJc w:val="right"/>
      <w:pPr>
        <w:tabs>
          <w:tab w:val="num" w:pos="709"/>
        </w:tabs>
        <w:ind w:left="709" w:hanging="141"/>
      </w:pPr>
      <w:rPr>
        <w:rFonts w:hint="default"/>
      </w:rPr>
    </w:lvl>
    <w:lvl w:ilvl="2">
      <w:start w:val="1"/>
      <w:numFmt w:val="decimal"/>
      <w:lvlText w:val="%3."/>
      <w:lvlJc w:val="right"/>
      <w:pPr>
        <w:tabs>
          <w:tab w:val="num" w:pos="993"/>
        </w:tabs>
        <w:ind w:left="993" w:hanging="141"/>
      </w:pPr>
      <w:rPr>
        <w:rFonts w:hint="default"/>
      </w:rPr>
    </w:lvl>
    <w:lvl w:ilvl="3">
      <w:start w:val="1"/>
      <w:numFmt w:val="lowerLetter"/>
      <w:lvlText w:val="%4."/>
      <w:lvlJc w:val="right"/>
      <w:pPr>
        <w:tabs>
          <w:tab w:val="num" w:pos="1277"/>
        </w:tabs>
        <w:ind w:left="1277" w:hanging="141"/>
      </w:pPr>
      <w:rPr>
        <w:rFonts w:hint="default"/>
      </w:rPr>
    </w:lvl>
    <w:lvl w:ilvl="4">
      <w:start w:val="1"/>
      <w:numFmt w:val="decimal"/>
      <w:lvlText w:val="%5."/>
      <w:lvlJc w:val="right"/>
      <w:pPr>
        <w:tabs>
          <w:tab w:val="num" w:pos="1561"/>
        </w:tabs>
        <w:ind w:left="1561" w:hanging="141"/>
      </w:pPr>
      <w:rPr>
        <w:rFonts w:hint="default"/>
      </w:rPr>
    </w:lvl>
    <w:lvl w:ilvl="5">
      <w:start w:val="1"/>
      <w:numFmt w:val="lowerLetter"/>
      <w:lvlText w:val="%6."/>
      <w:lvlJc w:val="right"/>
      <w:pPr>
        <w:tabs>
          <w:tab w:val="num" w:pos="1845"/>
        </w:tabs>
        <w:ind w:left="1845" w:hanging="144"/>
      </w:pPr>
      <w:rPr>
        <w:rFonts w:hint="default"/>
      </w:rPr>
    </w:lvl>
    <w:lvl w:ilvl="6">
      <w:start w:val="1"/>
      <w:numFmt w:val="decimal"/>
      <w:lvlText w:val="%7."/>
      <w:lvlJc w:val="right"/>
      <w:pPr>
        <w:tabs>
          <w:tab w:val="num" w:pos="2129"/>
        </w:tabs>
        <w:ind w:left="2129" w:hanging="144"/>
      </w:pPr>
      <w:rPr>
        <w:rFonts w:hint="default"/>
      </w:rPr>
    </w:lvl>
    <w:lvl w:ilvl="7">
      <w:start w:val="1"/>
      <w:numFmt w:val="lowerLetter"/>
      <w:lvlText w:val="%8."/>
      <w:lvlJc w:val="right"/>
      <w:pPr>
        <w:tabs>
          <w:tab w:val="num" w:pos="2410"/>
        </w:tabs>
        <w:ind w:left="2410" w:hanging="142"/>
      </w:pPr>
      <w:rPr>
        <w:rFonts w:hint="default"/>
      </w:rPr>
    </w:lvl>
    <w:lvl w:ilvl="8">
      <w:start w:val="1"/>
      <w:numFmt w:val="decimal"/>
      <w:lvlText w:val="%9."/>
      <w:lvlJc w:val="right"/>
      <w:pPr>
        <w:tabs>
          <w:tab w:val="num" w:pos="2693"/>
        </w:tabs>
        <w:ind w:left="2693" w:hanging="141"/>
      </w:pPr>
      <w:rPr>
        <w:rFonts w:hint="default"/>
      </w:rPr>
    </w:lvl>
  </w:abstractNum>
  <w:abstractNum w:abstractNumId="9">
    <w:nsid w:val="432C3B56"/>
    <w:multiLevelType w:val="multilevel"/>
    <w:tmpl w:val="749AD226"/>
    <w:numStyleLink w:val="Althingi---"/>
  </w:abstractNum>
  <w:abstractNum w:abstractNumId="1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11">
    <w:nsid w:val="45504135"/>
    <w:multiLevelType w:val="multilevel"/>
    <w:tmpl w:val="16447694"/>
    <w:lvl w:ilvl="0">
      <w:start w:val="1"/>
      <w:numFmt w:val="lowerRoman"/>
      <w:lvlText w:val="%1."/>
      <w:lvlJc w:val="right"/>
      <w:pPr>
        <w:tabs>
          <w:tab w:val="num" w:pos="425"/>
        </w:tabs>
        <w:ind w:left="425" w:hanging="141"/>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Roman"/>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Roman"/>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Roman"/>
      <w:lvlText w:val="%7."/>
      <w:lvlJc w:val="right"/>
      <w:pPr>
        <w:tabs>
          <w:tab w:val="num" w:pos="2129"/>
        </w:tabs>
        <w:ind w:left="2129" w:hanging="141"/>
      </w:pPr>
      <w:rPr>
        <w:rFonts w:hint="default"/>
      </w:rPr>
    </w:lvl>
    <w:lvl w:ilvl="7">
      <w:start w:val="1"/>
      <w:numFmt w:val="decimal"/>
      <w:lvlText w:val="%8."/>
      <w:lvlJc w:val="right"/>
      <w:pPr>
        <w:tabs>
          <w:tab w:val="num" w:pos="2413"/>
        </w:tabs>
        <w:ind w:left="2413" w:hanging="141"/>
      </w:pPr>
      <w:rPr>
        <w:rFonts w:hint="default"/>
      </w:rPr>
    </w:lvl>
    <w:lvl w:ilvl="8">
      <w:start w:val="1"/>
      <w:numFmt w:val="lowerRoman"/>
      <w:lvlText w:val="%9."/>
      <w:lvlJc w:val="left"/>
      <w:pPr>
        <w:tabs>
          <w:tab w:val="num" w:pos="2697"/>
        </w:tabs>
        <w:ind w:left="2697" w:hanging="141"/>
      </w:pPr>
      <w:rPr>
        <w:rFonts w:hint="default"/>
      </w:rPr>
    </w:lvl>
  </w:abstractNum>
  <w:abstractNum w:abstractNumId="12">
    <w:nsid w:val="4F50014E"/>
    <w:multiLevelType w:val="multilevel"/>
    <w:tmpl w:val="040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F8C16BE"/>
    <w:multiLevelType w:val="multilevel"/>
    <w:tmpl w:val="7E5C0E42"/>
    <w:lvl w:ilvl="0">
      <w:start w:val="1"/>
      <w:numFmt w:val="bullet"/>
      <w:lvlText w:val=""/>
      <w:lvlJc w:val="left"/>
      <w:pPr>
        <w:ind w:left="425" w:hanging="141"/>
      </w:pPr>
      <w:rPr>
        <w:rFonts w:ascii="Symbol" w:hAnsi="Symbol" w:hint="default"/>
      </w:rPr>
    </w:lvl>
    <w:lvl w:ilvl="1">
      <w:start w:val="1"/>
      <w:numFmt w:val="bullet"/>
      <w:lvlText w:val=""/>
      <w:lvlJc w:val="left"/>
      <w:pPr>
        <w:ind w:left="709" w:hanging="141"/>
      </w:pPr>
      <w:rPr>
        <w:rFonts w:ascii="Symbol" w:hAnsi="Symbol" w:hint="default"/>
      </w:rPr>
    </w:lvl>
    <w:lvl w:ilvl="2">
      <w:start w:val="1"/>
      <w:numFmt w:val="bullet"/>
      <w:lvlText w:val=""/>
      <w:lvlJc w:val="left"/>
      <w:pPr>
        <w:ind w:left="993" w:hanging="141"/>
      </w:pPr>
      <w:rPr>
        <w:rFonts w:ascii="Symbol" w:hAnsi="Symbol" w:hint="default"/>
      </w:rPr>
    </w:lvl>
    <w:lvl w:ilvl="3">
      <w:start w:val="1"/>
      <w:numFmt w:val="bullet"/>
      <w:lvlText w:val=""/>
      <w:lvlJc w:val="left"/>
      <w:pPr>
        <w:ind w:left="1277" w:hanging="141"/>
      </w:pPr>
      <w:rPr>
        <w:rFonts w:ascii="Symbol" w:hAnsi="Symbol" w:hint="default"/>
      </w:rPr>
    </w:lvl>
    <w:lvl w:ilvl="4">
      <w:start w:val="1"/>
      <w:numFmt w:val="bullet"/>
      <w:lvlText w:val=""/>
      <w:lvlJc w:val="left"/>
      <w:pPr>
        <w:ind w:left="1561" w:hanging="141"/>
      </w:pPr>
      <w:rPr>
        <w:rFonts w:ascii="Symbol" w:hAnsi="Symbol" w:hint="default"/>
      </w:rPr>
    </w:lvl>
    <w:lvl w:ilvl="5">
      <w:start w:val="1"/>
      <w:numFmt w:val="bullet"/>
      <w:lvlText w:val=""/>
      <w:lvlJc w:val="left"/>
      <w:pPr>
        <w:ind w:left="1845" w:hanging="141"/>
      </w:pPr>
      <w:rPr>
        <w:rFonts w:ascii="Symbol" w:hAnsi="Symbol" w:hint="default"/>
      </w:rPr>
    </w:lvl>
    <w:lvl w:ilvl="6">
      <w:start w:val="1"/>
      <w:numFmt w:val="bullet"/>
      <w:lvlText w:val=""/>
      <w:lvlJc w:val="left"/>
      <w:pPr>
        <w:ind w:left="2129" w:hanging="141"/>
      </w:pPr>
      <w:rPr>
        <w:rFonts w:ascii="Symbol" w:hAnsi="Symbol" w:hint="default"/>
      </w:rPr>
    </w:lvl>
    <w:lvl w:ilvl="7">
      <w:start w:val="1"/>
      <w:numFmt w:val="bullet"/>
      <w:lvlText w:val=""/>
      <w:lvlJc w:val="left"/>
      <w:pPr>
        <w:ind w:left="2413" w:hanging="141"/>
      </w:pPr>
      <w:rPr>
        <w:rFonts w:ascii="Symbol" w:hAnsi="Symbol" w:hint="default"/>
      </w:rPr>
    </w:lvl>
    <w:lvl w:ilvl="8">
      <w:start w:val="1"/>
      <w:numFmt w:val="bullet"/>
      <w:lvlText w:val=""/>
      <w:lvlJc w:val="left"/>
      <w:pPr>
        <w:ind w:left="2693" w:hanging="141"/>
      </w:pPr>
      <w:rPr>
        <w:rFonts w:ascii="Symbol" w:hAnsi="Symbol" w:hint="default"/>
      </w:rPr>
    </w:lvl>
  </w:abstractNum>
  <w:abstractNum w:abstractNumId="14">
    <w:nsid w:val="6F9A2B26"/>
    <w:multiLevelType w:val="multilevel"/>
    <w:tmpl w:val="749AD226"/>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num w:numId="1">
    <w:abstractNumId w:val="1"/>
  </w:num>
  <w:num w:numId="2">
    <w:abstractNumId w:val="0"/>
  </w:num>
  <w:num w:numId="3">
    <w:abstractNumId w:val="13"/>
  </w:num>
  <w:num w:numId="4">
    <w:abstractNumId w:val="3"/>
  </w:num>
  <w:num w:numId="5">
    <w:abstractNumId w:val="8"/>
  </w:num>
  <w:num w:numId="6">
    <w:abstractNumId w:val="2"/>
  </w:num>
  <w:num w:numId="7">
    <w:abstractNumId w:val="11"/>
  </w:num>
  <w:num w:numId="8">
    <w:abstractNumId w:val="14"/>
  </w:num>
  <w:num w:numId="9">
    <w:abstractNumId w:val="6"/>
  </w:num>
  <w:num w:numId="10">
    <w:abstractNumId w:val="4"/>
  </w:num>
  <w:num w:numId="11">
    <w:abstractNumId w:val="10"/>
  </w:num>
  <w:num w:numId="12">
    <w:abstractNumId w:val="7"/>
  </w:num>
  <w:num w:numId="13">
    <w:abstractNumId w:val="9"/>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removeDateAndTime/>
  <w:defaultTabStop w:val="284"/>
  <w:hyphenationZone w:val="425"/>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EBC"/>
    <w:rsid w:val="00030C42"/>
    <w:rsid w:val="00041867"/>
    <w:rsid w:val="00041B70"/>
    <w:rsid w:val="00060170"/>
    <w:rsid w:val="00063CC6"/>
    <w:rsid w:val="00082C1E"/>
    <w:rsid w:val="000A7848"/>
    <w:rsid w:val="000C55BC"/>
    <w:rsid w:val="000D1944"/>
    <w:rsid w:val="000D5EBC"/>
    <w:rsid w:val="00196564"/>
    <w:rsid w:val="00235047"/>
    <w:rsid w:val="002C3855"/>
    <w:rsid w:val="002D7B70"/>
    <w:rsid w:val="002E7193"/>
    <w:rsid w:val="002E765A"/>
    <w:rsid w:val="00311868"/>
    <w:rsid w:val="00354A93"/>
    <w:rsid w:val="00373A5E"/>
    <w:rsid w:val="00384646"/>
    <w:rsid w:val="003917F4"/>
    <w:rsid w:val="0039471D"/>
    <w:rsid w:val="00395EE3"/>
    <w:rsid w:val="003C2AF8"/>
    <w:rsid w:val="00402529"/>
    <w:rsid w:val="00404394"/>
    <w:rsid w:val="004474B4"/>
    <w:rsid w:val="0047735B"/>
    <w:rsid w:val="00481472"/>
    <w:rsid w:val="0048197C"/>
    <w:rsid w:val="004823A0"/>
    <w:rsid w:val="00482B8D"/>
    <w:rsid w:val="00487DBC"/>
    <w:rsid w:val="0049606B"/>
    <w:rsid w:val="00497DE4"/>
    <w:rsid w:val="004A5F45"/>
    <w:rsid w:val="004C4D11"/>
    <w:rsid w:val="004D523C"/>
    <w:rsid w:val="00507601"/>
    <w:rsid w:val="00522D75"/>
    <w:rsid w:val="00540391"/>
    <w:rsid w:val="0058080A"/>
    <w:rsid w:val="005B523F"/>
    <w:rsid w:val="006439EA"/>
    <w:rsid w:val="00663BD6"/>
    <w:rsid w:val="00680330"/>
    <w:rsid w:val="006938B5"/>
    <w:rsid w:val="00703B4F"/>
    <w:rsid w:val="00707D37"/>
    <w:rsid w:val="007459A5"/>
    <w:rsid w:val="007A08F8"/>
    <w:rsid w:val="007B7081"/>
    <w:rsid w:val="007C353E"/>
    <w:rsid w:val="007C7C36"/>
    <w:rsid w:val="007D3A44"/>
    <w:rsid w:val="00802D9B"/>
    <w:rsid w:val="00855241"/>
    <w:rsid w:val="00864A0A"/>
    <w:rsid w:val="00867FED"/>
    <w:rsid w:val="00894529"/>
    <w:rsid w:val="00895423"/>
    <w:rsid w:val="008A2E71"/>
    <w:rsid w:val="008A69A2"/>
    <w:rsid w:val="008C736E"/>
    <w:rsid w:val="008D6D45"/>
    <w:rsid w:val="008F343C"/>
    <w:rsid w:val="00973F58"/>
    <w:rsid w:val="009B429E"/>
    <w:rsid w:val="009B4E70"/>
    <w:rsid w:val="009C7F3C"/>
    <w:rsid w:val="009F5940"/>
    <w:rsid w:val="00A57876"/>
    <w:rsid w:val="00A612D0"/>
    <w:rsid w:val="00A76093"/>
    <w:rsid w:val="00AB168E"/>
    <w:rsid w:val="00AC3E26"/>
    <w:rsid w:val="00AD1EB0"/>
    <w:rsid w:val="00AF581E"/>
    <w:rsid w:val="00B5476F"/>
    <w:rsid w:val="00B73906"/>
    <w:rsid w:val="00B759E6"/>
    <w:rsid w:val="00B77F92"/>
    <w:rsid w:val="00B86FC9"/>
    <w:rsid w:val="00BC2547"/>
    <w:rsid w:val="00BC4778"/>
    <w:rsid w:val="00BF3D23"/>
    <w:rsid w:val="00C34A72"/>
    <w:rsid w:val="00C4687B"/>
    <w:rsid w:val="00C601EF"/>
    <w:rsid w:val="00CA4C54"/>
    <w:rsid w:val="00CC41C6"/>
    <w:rsid w:val="00D0235E"/>
    <w:rsid w:val="00D24F78"/>
    <w:rsid w:val="00D27CD5"/>
    <w:rsid w:val="00D41373"/>
    <w:rsid w:val="00D51EC1"/>
    <w:rsid w:val="00D54250"/>
    <w:rsid w:val="00D726F0"/>
    <w:rsid w:val="00D90ECC"/>
    <w:rsid w:val="00DA301C"/>
    <w:rsid w:val="00DE2FA5"/>
    <w:rsid w:val="00E321C8"/>
    <w:rsid w:val="00E63B97"/>
    <w:rsid w:val="00E829BA"/>
    <w:rsid w:val="00E86473"/>
    <w:rsid w:val="00EB3D6D"/>
    <w:rsid w:val="00F25B48"/>
    <w:rsid w:val="00F33179"/>
    <w:rsid w:val="00F43D02"/>
    <w:rsid w:val="00F5486C"/>
    <w:rsid w:val="00F7338D"/>
    <w:rsid w:val="00F8611D"/>
    <w:rsid w:val="00F93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lsdException w:name="heading 2" w:uiPriority="9" w:unhideWhenUsed="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uiPriority="10"/>
    <w:lsdException w:name="Default Paragraph Font" w:uiPriority="1"/>
    <w:lsdException w:name="Subtitle" w:uiPriority="11"/>
    <w:lsdException w:name="Strong" w:uiPriority="22"/>
    <w:lsdException w:name="Emphasis" w:uiPriority="2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D726F0"/>
    <w:pPr>
      <w:ind w:firstLine="284"/>
      <w:jc w:val="both"/>
    </w:pPr>
    <w:rPr>
      <w:rFonts w:ascii="Times New Roman" w:hAnsi="Times New Roman"/>
      <w:sz w:val="21"/>
      <w:szCs w:val="22"/>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mija">
    <w:name w:val="Normal/miðjað"/>
    <w:basedOn w:val="Normal"/>
    <w:qFormat/>
    <w:rsid w:val="007A08F8"/>
    <w:pPr>
      <w:ind w:firstLine="0"/>
      <w:jc w:val="center"/>
    </w:pPr>
  </w:style>
  <w:style w:type="paragraph" w:customStyle="1" w:styleId="Fyrirsgn-athugasemdir">
    <w:name w:val="Fyrirsögn - athugasemdir"/>
    <w:basedOn w:val="Normal"/>
    <w:next w:val="Normal"/>
    <w:qFormat/>
    <w:rsid w:val="008C736E"/>
    <w:pPr>
      <w:ind w:firstLine="0"/>
      <w:jc w:val="center"/>
    </w:pPr>
    <w:rPr>
      <w:spacing w:val="44"/>
    </w:rPr>
  </w:style>
  <w:style w:type="paragraph" w:customStyle="1" w:styleId="Strik">
    <w:name w:val="Strik"/>
    <w:basedOn w:val="Normal"/>
    <w:next w:val="Normal"/>
    <w:qFormat/>
    <w:rsid w:val="007A08F8"/>
    <w:pPr>
      <w:pBdr>
        <w:bottom w:val="single" w:sz="4" w:space="1" w:color="auto"/>
      </w:pBdr>
      <w:spacing w:before="120"/>
      <w:ind w:left="3402" w:right="3402" w:firstLine="0"/>
    </w:pPr>
  </w:style>
  <w:style w:type="paragraph" w:customStyle="1" w:styleId="Millifyrirsgn2">
    <w:name w:val="Millifyrirsögn 2"/>
    <w:basedOn w:val="Normal"/>
    <w:next w:val="Normal"/>
    <w:qFormat/>
    <w:rsid w:val="00D726F0"/>
    <w:pPr>
      <w:ind w:firstLine="0"/>
    </w:pPr>
    <w:rPr>
      <w:i/>
    </w:rPr>
  </w:style>
  <w:style w:type="paragraph" w:customStyle="1" w:styleId="Millifyrirsgn1">
    <w:name w:val="Millifyrirsögn 1"/>
    <w:basedOn w:val="Normal"/>
    <w:next w:val="Normal"/>
    <w:qFormat/>
    <w:rsid w:val="00D726F0"/>
    <w:pPr>
      <w:ind w:firstLine="0"/>
    </w:pPr>
    <w:rPr>
      <w:b/>
    </w:rPr>
  </w:style>
  <w:style w:type="paragraph" w:customStyle="1" w:styleId="Fyrirsgn-skjalategund">
    <w:name w:val="Fyrirsögn - skjalategund"/>
    <w:basedOn w:val="Normal"/>
    <w:next w:val="Normal"/>
    <w:qFormat/>
    <w:rsid w:val="007A08F8"/>
    <w:pPr>
      <w:spacing w:before="720" w:after="360"/>
      <w:ind w:firstLine="0"/>
      <w:jc w:val="center"/>
    </w:pPr>
    <w:rPr>
      <w:b/>
      <w:sz w:val="38"/>
    </w:rPr>
  </w:style>
  <w:style w:type="paragraph" w:customStyle="1" w:styleId="Fyrirsgn-undirfyrirsgn">
    <w:name w:val="Fyrirsögn - undirfyrirsögn"/>
    <w:basedOn w:val="Normal"/>
    <w:next w:val="Normal"/>
    <w:qFormat/>
    <w:rsid w:val="007A08F8"/>
    <w:pPr>
      <w:ind w:firstLine="0"/>
      <w:jc w:val="center"/>
    </w:pPr>
    <w:rPr>
      <w:b/>
      <w:sz w:val="24"/>
    </w:rPr>
  </w:style>
  <w:style w:type="paragraph" w:customStyle="1" w:styleId="Fyrirsgn-fylgiskjl">
    <w:name w:val="Fyrirsögn - fylgiskjöl"/>
    <w:basedOn w:val="Normal"/>
    <w:next w:val="Normal"/>
    <w:qFormat/>
    <w:rsid w:val="0039471D"/>
    <w:pPr>
      <w:ind w:firstLine="0"/>
      <w:jc w:val="left"/>
    </w:pPr>
    <w:rPr>
      <w:b/>
      <w:u w:val="single"/>
    </w:rPr>
  </w:style>
  <w:style w:type="paragraph" w:styleId="Header">
    <w:name w:val="header"/>
    <w:basedOn w:val="Normal"/>
    <w:link w:val="HeaderChar"/>
    <w:uiPriority w:val="99"/>
    <w:unhideWhenUsed/>
    <w:rsid w:val="00A612D0"/>
    <w:pPr>
      <w:tabs>
        <w:tab w:val="center" w:pos="4536"/>
        <w:tab w:val="right" w:pos="9072"/>
      </w:tabs>
    </w:pPr>
  </w:style>
  <w:style w:type="character" w:customStyle="1" w:styleId="HeaderChar">
    <w:name w:val="Header Char"/>
    <w:link w:val="Header"/>
    <w:uiPriority w:val="99"/>
    <w:rsid w:val="00A612D0"/>
    <w:rPr>
      <w:rFonts w:ascii="Times New Roman" w:hAnsi="Times New Roman"/>
      <w:sz w:val="21"/>
      <w:szCs w:val="22"/>
      <w:lang w:eastAsia="en-US"/>
    </w:rPr>
  </w:style>
  <w:style w:type="paragraph" w:styleId="Footer">
    <w:name w:val="footer"/>
    <w:basedOn w:val="Normal"/>
    <w:link w:val="FooterChar"/>
    <w:uiPriority w:val="99"/>
    <w:unhideWhenUsed/>
    <w:rsid w:val="00A612D0"/>
    <w:pPr>
      <w:tabs>
        <w:tab w:val="center" w:pos="4536"/>
        <w:tab w:val="right" w:pos="9072"/>
      </w:tabs>
    </w:pPr>
  </w:style>
  <w:style w:type="character" w:customStyle="1" w:styleId="FooterChar">
    <w:name w:val="Footer Char"/>
    <w:link w:val="Footer"/>
    <w:uiPriority w:val="99"/>
    <w:rsid w:val="00A612D0"/>
    <w:rPr>
      <w:rFonts w:ascii="Times New Roman" w:hAnsi="Times New Roman"/>
      <w:sz w:val="21"/>
      <w:szCs w:val="22"/>
      <w:lang w:eastAsia="en-US"/>
    </w:rPr>
  </w:style>
  <w:style w:type="paragraph" w:styleId="FootnoteText">
    <w:name w:val="footnote text"/>
    <w:basedOn w:val="Normal"/>
    <w:link w:val="FootnoteTextChar"/>
    <w:uiPriority w:val="99"/>
    <w:semiHidden/>
    <w:unhideWhenUsed/>
    <w:rsid w:val="00F33179"/>
    <w:pPr>
      <w:ind w:left="284" w:hanging="284"/>
    </w:pPr>
    <w:rPr>
      <w:sz w:val="18"/>
      <w:szCs w:val="20"/>
    </w:rPr>
  </w:style>
  <w:style w:type="character" w:customStyle="1" w:styleId="FootnoteTextChar">
    <w:name w:val="Footnote Text Char"/>
    <w:link w:val="FootnoteText"/>
    <w:uiPriority w:val="99"/>
    <w:semiHidden/>
    <w:rsid w:val="00F33179"/>
    <w:rPr>
      <w:rFonts w:ascii="Times New Roman" w:hAnsi="Times New Roman"/>
      <w:sz w:val="18"/>
      <w:lang w:eastAsia="en-US"/>
    </w:rPr>
  </w:style>
  <w:style w:type="character" w:styleId="FootnoteReference">
    <w:name w:val="footnote reference"/>
    <w:semiHidden/>
    <w:unhideWhenUsed/>
    <w:rsid w:val="00F33179"/>
    <w:rPr>
      <w:vertAlign w:val="superscript"/>
    </w:rPr>
  </w:style>
  <w:style w:type="character" w:styleId="Hyperlink">
    <w:name w:val="Hyperlink"/>
    <w:basedOn w:val="DefaultParagraphFont"/>
    <w:uiPriority w:val="99"/>
    <w:unhideWhenUsed/>
    <w:rsid w:val="00060170"/>
  </w:style>
  <w:style w:type="numbering" w:customStyle="1" w:styleId="Althingi---">
    <w:name w:val="Althingi - - -"/>
    <w:uiPriority w:val="99"/>
    <w:rsid w:val="008D6D45"/>
    <w:pPr>
      <w:numPr>
        <w:numId w:val="8"/>
      </w:numPr>
    </w:pPr>
  </w:style>
  <w:style w:type="numbering" w:customStyle="1" w:styleId="Althingi">
    <w:name w:val="Althingi • • •"/>
    <w:uiPriority w:val="99"/>
    <w:rsid w:val="008D6D45"/>
    <w:pPr>
      <w:numPr>
        <w:numId w:val="9"/>
      </w:numPr>
    </w:pPr>
  </w:style>
  <w:style w:type="numbering" w:customStyle="1" w:styleId="Althingi1-a-1-a">
    <w:name w:val="Althingi 1 - a - 1 -a"/>
    <w:uiPriority w:val="99"/>
    <w:rsid w:val="00402529"/>
    <w:pPr>
      <w:numPr>
        <w:numId w:val="10"/>
      </w:numPr>
    </w:pPr>
  </w:style>
  <w:style w:type="numbering" w:customStyle="1" w:styleId="Althingia-1-a-1">
    <w:name w:val="Althingi a - 1 - a - 1"/>
    <w:uiPriority w:val="99"/>
    <w:rsid w:val="00402529"/>
    <w:pPr>
      <w:numPr>
        <w:numId w:val="11"/>
      </w:numPr>
    </w:pPr>
  </w:style>
  <w:style w:type="numbering" w:customStyle="1" w:styleId="Althingii-1-i-1">
    <w:name w:val="Althingi i - 1 - i - 1"/>
    <w:uiPriority w:val="99"/>
    <w:rsid w:val="00402529"/>
    <w:pPr>
      <w:numPr>
        <w:numId w:val="12"/>
      </w:numPr>
    </w:pPr>
  </w:style>
  <w:style w:type="paragraph" w:customStyle="1" w:styleId="Nmeringsskjalsmls">
    <w:name w:val="Númer þings/skjals/máls"/>
    <w:basedOn w:val="Normal"/>
    <w:next w:val="Normal"/>
    <w:qFormat/>
    <w:rsid w:val="00BC2547"/>
    <w:pPr>
      <w:ind w:firstLine="0"/>
    </w:pPr>
    <w:rPr>
      <w:b/>
    </w:rPr>
  </w:style>
  <w:style w:type="character" w:styleId="CommentReference">
    <w:name w:val="annotation reference"/>
    <w:basedOn w:val="DefaultParagraphFont"/>
    <w:uiPriority w:val="99"/>
    <w:semiHidden/>
    <w:unhideWhenUsed/>
    <w:rsid w:val="00540391"/>
    <w:rPr>
      <w:sz w:val="16"/>
      <w:szCs w:val="16"/>
    </w:rPr>
  </w:style>
  <w:style w:type="paragraph" w:styleId="CommentText">
    <w:name w:val="annotation text"/>
    <w:basedOn w:val="Normal"/>
    <w:link w:val="CommentTextChar"/>
    <w:uiPriority w:val="99"/>
    <w:semiHidden/>
    <w:unhideWhenUsed/>
    <w:rsid w:val="00540391"/>
    <w:rPr>
      <w:sz w:val="20"/>
      <w:szCs w:val="20"/>
    </w:rPr>
  </w:style>
  <w:style w:type="character" w:customStyle="1" w:styleId="CommentTextChar">
    <w:name w:val="Comment Text Char"/>
    <w:basedOn w:val="DefaultParagraphFont"/>
    <w:link w:val="CommentText"/>
    <w:uiPriority w:val="99"/>
    <w:semiHidden/>
    <w:rsid w:val="00540391"/>
    <w:rPr>
      <w:rFonts w:ascii="Times New Roman" w:hAnsi="Times New Roman"/>
      <w:lang w:val="is-IS"/>
    </w:rPr>
  </w:style>
  <w:style w:type="paragraph" w:styleId="CommentSubject">
    <w:name w:val="annotation subject"/>
    <w:basedOn w:val="CommentText"/>
    <w:next w:val="CommentText"/>
    <w:link w:val="CommentSubjectChar"/>
    <w:uiPriority w:val="99"/>
    <w:semiHidden/>
    <w:unhideWhenUsed/>
    <w:rsid w:val="00540391"/>
    <w:rPr>
      <w:b/>
      <w:bCs/>
    </w:rPr>
  </w:style>
  <w:style w:type="character" w:customStyle="1" w:styleId="CommentSubjectChar">
    <w:name w:val="Comment Subject Char"/>
    <w:basedOn w:val="CommentTextChar"/>
    <w:link w:val="CommentSubject"/>
    <w:uiPriority w:val="99"/>
    <w:semiHidden/>
    <w:rsid w:val="00540391"/>
    <w:rPr>
      <w:rFonts w:ascii="Times New Roman" w:hAnsi="Times New Roman"/>
      <w:b/>
      <w:bCs/>
      <w:lang w:val="is-IS"/>
    </w:rPr>
  </w:style>
  <w:style w:type="paragraph" w:styleId="BalloonText">
    <w:name w:val="Balloon Text"/>
    <w:basedOn w:val="Normal"/>
    <w:link w:val="BalloonTextChar"/>
    <w:uiPriority w:val="99"/>
    <w:semiHidden/>
    <w:unhideWhenUsed/>
    <w:rsid w:val="00540391"/>
    <w:rPr>
      <w:rFonts w:ascii="Tahoma" w:hAnsi="Tahoma" w:cs="Tahoma"/>
      <w:sz w:val="16"/>
      <w:szCs w:val="16"/>
    </w:rPr>
  </w:style>
  <w:style w:type="character" w:customStyle="1" w:styleId="BalloonTextChar">
    <w:name w:val="Balloon Text Char"/>
    <w:basedOn w:val="DefaultParagraphFont"/>
    <w:link w:val="BalloonText"/>
    <w:uiPriority w:val="99"/>
    <w:semiHidden/>
    <w:rsid w:val="00540391"/>
    <w:rPr>
      <w:rFonts w:ascii="Tahoma" w:hAnsi="Tahoma" w:cs="Tahoma"/>
      <w:sz w:val="16"/>
      <w:szCs w:val="16"/>
      <w:lang w:val="is-IS"/>
    </w:rPr>
  </w:style>
  <w:style w:type="paragraph" w:styleId="ListParagraph">
    <w:name w:val="List Paragraph"/>
    <w:basedOn w:val="Normal"/>
    <w:uiPriority w:val="34"/>
    <w:unhideWhenUsed/>
    <w:rsid w:val="00B77F92"/>
    <w:pPr>
      <w:ind w:left="720"/>
      <w:contextualSpacing/>
    </w:pPr>
  </w:style>
  <w:style w:type="character" w:styleId="FollowedHyperlink">
    <w:name w:val="FollowedHyperlink"/>
    <w:basedOn w:val="DefaultParagraphFont"/>
    <w:uiPriority w:val="99"/>
    <w:semiHidden/>
    <w:unhideWhenUsed/>
    <w:rsid w:val="004D523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lsdException w:name="heading 2" w:uiPriority="9" w:unhideWhenUsed="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uiPriority="10"/>
    <w:lsdException w:name="Default Paragraph Font" w:uiPriority="1"/>
    <w:lsdException w:name="Subtitle" w:uiPriority="11"/>
    <w:lsdException w:name="Strong" w:uiPriority="22"/>
    <w:lsdException w:name="Emphasis" w:uiPriority="2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D726F0"/>
    <w:pPr>
      <w:ind w:firstLine="284"/>
      <w:jc w:val="both"/>
    </w:pPr>
    <w:rPr>
      <w:rFonts w:ascii="Times New Roman" w:hAnsi="Times New Roman"/>
      <w:sz w:val="21"/>
      <w:szCs w:val="22"/>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mija">
    <w:name w:val="Normal/miðjað"/>
    <w:basedOn w:val="Normal"/>
    <w:qFormat/>
    <w:rsid w:val="007A08F8"/>
    <w:pPr>
      <w:ind w:firstLine="0"/>
      <w:jc w:val="center"/>
    </w:pPr>
  </w:style>
  <w:style w:type="paragraph" w:customStyle="1" w:styleId="Fyrirsgn-athugasemdir">
    <w:name w:val="Fyrirsögn - athugasemdir"/>
    <w:basedOn w:val="Normal"/>
    <w:next w:val="Normal"/>
    <w:qFormat/>
    <w:rsid w:val="008C736E"/>
    <w:pPr>
      <w:ind w:firstLine="0"/>
      <w:jc w:val="center"/>
    </w:pPr>
    <w:rPr>
      <w:spacing w:val="44"/>
    </w:rPr>
  </w:style>
  <w:style w:type="paragraph" w:customStyle="1" w:styleId="Strik">
    <w:name w:val="Strik"/>
    <w:basedOn w:val="Normal"/>
    <w:next w:val="Normal"/>
    <w:qFormat/>
    <w:rsid w:val="007A08F8"/>
    <w:pPr>
      <w:pBdr>
        <w:bottom w:val="single" w:sz="4" w:space="1" w:color="auto"/>
      </w:pBdr>
      <w:spacing w:before="120"/>
      <w:ind w:left="3402" w:right="3402" w:firstLine="0"/>
    </w:pPr>
  </w:style>
  <w:style w:type="paragraph" w:customStyle="1" w:styleId="Millifyrirsgn2">
    <w:name w:val="Millifyrirsögn 2"/>
    <w:basedOn w:val="Normal"/>
    <w:next w:val="Normal"/>
    <w:qFormat/>
    <w:rsid w:val="00D726F0"/>
    <w:pPr>
      <w:ind w:firstLine="0"/>
    </w:pPr>
    <w:rPr>
      <w:i/>
    </w:rPr>
  </w:style>
  <w:style w:type="paragraph" w:customStyle="1" w:styleId="Millifyrirsgn1">
    <w:name w:val="Millifyrirsögn 1"/>
    <w:basedOn w:val="Normal"/>
    <w:next w:val="Normal"/>
    <w:qFormat/>
    <w:rsid w:val="00D726F0"/>
    <w:pPr>
      <w:ind w:firstLine="0"/>
    </w:pPr>
    <w:rPr>
      <w:b/>
    </w:rPr>
  </w:style>
  <w:style w:type="paragraph" w:customStyle="1" w:styleId="Fyrirsgn-skjalategund">
    <w:name w:val="Fyrirsögn - skjalategund"/>
    <w:basedOn w:val="Normal"/>
    <w:next w:val="Normal"/>
    <w:qFormat/>
    <w:rsid w:val="007A08F8"/>
    <w:pPr>
      <w:spacing w:before="720" w:after="360"/>
      <w:ind w:firstLine="0"/>
      <w:jc w:val="center"/>
    </w:pPr>
    <w:rPr>
      <w:b/>
      <w:sz w:val="38"/>
    </w:rPr>
  </w:style>
  <w:style w:type="paragraph" w:customStyle="1" w:styleId="Fyrirsgn-undirfyrirsgn">
    <w:name w:val="Fyrirsögn - undirfyrirsögn"/>
    <w:basedOn w:val="Normal"/>
    <w:next w:val="Normal"/>
    <w:qFormat/>
    <w:rsid w:val="007A08F8"/>
    <w:pPr>
      <w:ind w:firstLine="0"/>
      <w:jc w:val="center"/>
    </w:pPr>
    <w:rPr>
      <w:b/>
      <w:sz w:val="24"/>
    </w:rPr>
  </w:style>
  <w:style w:type="paragraph" w:customStyle="1" w:styleId="Fyrirsgn-fylgiskjl">
    <w:name w:val="Fyrirsögn - fylgiskjöl"/>
    <w:basedOn w:val="Normal"/>
    <w:next w:val="Normal"/>
    <w:qFormat/>
    <w:rsid w:val="0039471D"/>
    <w:pPr>
      <w:ind w:firstLine="0"/>
      <w:jc w:val="left"/>
    </w:pPr>
    <w:rPr>
      <w:b/>
      <w:u w:val="single"/>
    </w:rPr>
  </w:style>
  <w:style w:type="paragraph" w:styleId="Header">
    <w:name w:val="header"/>
    <w:basedOn w:val="Normal"/>
    <w:link w:val="HeaderChar"/>
    <w:uiPriority w:val="99"/>
    <w:unhideWhenUsed/>
    <w:rsid w:val="00A612D0"/>
    <w:pPr>
      <w:tabs>
        <w:tab w:val="center" w:pos="4536"/>
        <w:tab w:val="right" w:pos="9072"/>
      </w:tabs>
    </w:pPr>
  </w:style>
  <w:style w:type="character" w:customStyle="1" w:styleId="HeaderChar">
    <w:name w:val="Header Char"/>
    <w:link w:val="Header"/>
    <w:uiPriority w:val="99"/>
    <w:rsid w:val="00A612D0"/>
    <w:rPr>
      <w:rFonts w:ascii="Times New Roman" w:hAnsi="Times New Roman"/>
      <w:sz w:val="21"/>
      <w:szCs w:val="22"/>
      <w:lang w:eastAsia="en-US"/>
    </w:rPr>
  </w:style>
  <w:style w:type="paragraph" w:styleId="Footer">
    <w:name w:val="footer"/>
    <w:basedOn w:val="Normal"/>
    <w:link w:val="FooterChar"/>
    <w:uiPriority w:val="99"/>
    <w:unhideWhenUsed/>
    <w:rsid w:val="00A612D0"/>
    <w:pPr>
      <w:tabs>
        <w:tab w:val="center" w:pos="4536"/>
        <w:tab w:val="right" w:pos="9072"/>
      </w:tabs>
    </w:pPr>
  </w:style>
  <w:style w:type="character" w:customStyle="1" w:styleId="FooterChar">
    <w:name w:val="Footer Char"/>
    <w:link w:val="Footer"/>
    <w:uiPriority w:val="99"/>
    <w:rsid w:val="00A612D0"/>
    <w:rPr>
      <w:rFonts w:ascii="Times New Roman" w:hAnsi="Times New Roman"/>
      <w:sz w:val="21"/>
      <w:szCs w:val="22"/>
      <w:lang w:eastAsia="en-US"/>
    </w:rPr>
  </w:style>
  <w:style w:type="paragraph" w:styleId="FootnoteText">
    <w:name w:val="footnote text"/>
    <w:basedOn w:val="Normal"/>
    <w:link w:val="FootnoteTextChar"/>
    <w:uiPriority w:val="99"/>
    <w:semiHidden/>
    <w:unhideWhenUsed/>
    <w:rsid w:val="00F33179"/>
    <w:pPr>
      <w:ind w:left="284" w:hanging="284"/>
    </w:pPr>
    <w:rPr>
      <w:sz w:val="18"/>
      <w:szCs w:val="20"/>
    </w:rPr>
  </w:style>
  <w:style w:type="character" w:customStyle="1" w:styleId="FootnoteTextChar">
    <w:name w:val="Footnote Text Char"/>
    <w:link w:val="FootnoteText"/>
    <w:uiPriority w:val="99"/>
    <w:semiHidden/>
    <w:rsid w:val="00F33179"/>
    <w:rPr>
      <w:rFonts w:ascii="Times New Roman" w:hAnsi="Times New Roman"/>
      <w:sz w:val="18"/>
      <w:lang w:eastAsia="en-US"/>
    </w:rPr>
  </w:style>
  <w:style w:type="character" w:styleId="FootnoteReference">
    <w:name w:val="footnote reference"/>
    <w:semiHidden/>
    <w:unhideWhenUsed/>
    <w:rsid w:val="00F33179"/>
    <w:rPr>
      <w:vertAlign w:val="superscript"/>
    </w:rPr>
  </w:style>
  <w:style w:type="character" w:styleId="Hyperlink">
    <w:name w:val="Hyperlink"/>
    <w:basedOn w:val="DefaultParagraphFont"/>
    <w:uiPriority w:val="99"/>
    <w:unhideWhenUsed/>
    <w:rsid w:val="00060170"/>
  </w:style>
  <w:style w:type="numbering" w:customStyle="1" w:styleId="Althingi---">
    <w:name w:val="Althingi - - -"/>
    <w:uiPriority w:val="99"/>
    <w:rsid w:val="008D6D45"/>
    <w:pPr>
      <w:numPr>
        <w:numId w:val="8"/>
      </w:numPr>
    </w:pPr>
  </w:style>
  <w:style w:type="numbering" w:customStyle="1" w:styleId="Althingi">
    <w:name w:val="Althingi • • •"/>
    <w:uiPriority w:val="99"/>
    <w:rsid w:val="008D6D45"/>
    <w:pPr>
      <w:numPr>
        <w:numId w:val="9"/>
      </w:numPr>
    </w:pPr>
  </w:style>
  <w:style w:type="numbering" w:customStyle="1" w:styleId="Althingi1-a-1-a">
    <w:name w:val="Althingi 1 - a - 1 -a"/>
    <w:uiPriority w:val="99"/>
    <w:rsid w:val="00402529"/>
    <w:pPr>
      <w:numPr>
        <w:numId w:val="10"/>
      </w:numPr>
    </w:pPr>
  </w:style>
  <w:style w:type="numbering" w:customStyle="1" w:styleId="Althingia-1-a-1">
    <w:name w:val="Althingi a - 1 - a - 1"/>
    <w:uiPriority w:val="99"/>
    <w:rsid w:val="00402529"/>
    <w:pPr>
      <w:numPr>
        <w:numId w:val="11"/>
      </w:numPr>
    </w:pPr>
  </w:style>
  <w:style w:type="numbering" w:customStyle="1" w:styleId="Althingii-1-i-1">
    <w:name w:val="Althingi i - 1 - i - 1"/>
    <w:uiPriority w:val="99"/>
    <w:rsid w:val="00402529"/>
    <w:pPr>
      <w:numPr>
        <w:numId w:val="12"/>
      </w:numPr>
    </w:pPr>
  </w:style>
  <w:style w:type="paragraph" w:customStyle="1" w:styleId="Nmeringsskjalsmls">
    <w:name w:val="Númer þings/skjals/máls"/>
    <w:basedOn w:val="Normal"/>
    <w:next w:val="Normal"/>
    <w:qFormat/>
    <w:rsid w:val="00BC2547"/>
    <w:pPr>
      <w:ind w:firstLine="0"/>
    </w:pPr>
    <w:rPr>
      <w:b/>
    </w:rPr>
  </w:style>
  <w:style w:type="character" w:styleId="CommentReference">
    <w:name w:val="annotation reference"/>
    <w:basedOn w:val="DefaultParagraphFont"/>
    <w:uiPriority w:val="99"/>
    <w:semiHidden/>
    <w:unhideWhenUsed/>
    <w:rsid w:val="00540391"/>
    <w:rPr>
      <w:sz w:val="16"/>
      <w:szCs w:val="16"/>
    </w:rPr>
  </w:style>
  <w:style w:type="paragraph" w:styleId="CommentText">
    <w:name w:val="annotation text"/>
    <w:basedOn w:val="Normal"/>
    <w:link w:val="CommentTextChar"/>
    <w:uiPriority w:val="99"/>
    <w:semiHidden/>
    <w:unhideWhenUsed/>
    <w:rsid w:val="00540391"/>
    <w:rPr>
      <w:sz w:val="20"/>
      <w:szCs w:val="20"/>
    </w:rPr>
  </w:style>
  <w:style w:type="character" w:customStyle="1" w:styleId="CommentTextChar">
    <w:name w:val="Comment Text Char"/>
    <w:basedOn w:val="DefaultParagraphFont"/>
    <w:link w:val="CommentText"/>
    <w:uiPriority w:val="99"/>
    <w:semiHidden/>
    <w:rsid w:val="00540391"/>
    <w:rPr>
      <w:rFonts w:ascii="Times New Roman" w:hAnsi="Times New Roman"/>
      <w:lang w:val="is-IS"/>
    </w:rPr>
  </w:style>
  <w:style w:type="paragraph" w:styleId="CommentSubject">
    <w:name w:val="annotation subject"/>
    <w:basedOn w:val="CommentText"/>
    <w:next w:val="CommentText"/>
    <w:link w:val="CommentSubjectChar"/>
    <w:uiPriority w:val="99"/>
    <w:semiHidden/>
    <w:unhideWhenUsed/>
    <w:rsid w:val="00540391"/>
    <w:rPr>
      <w:b/>
      <w:bCs/>
    </w:rPr>
  </w:style>
  <w:style w:type="character" w:customStyle="1" w:styleId="CommentSubjectChar">
    <w:name w:val="Comment Subject Char"/>
    <w:basedOn w:val="CommentTextChar"/>
    <w:link w:val="CommentSubject"/>
    <w:uiPriority w:val="99"/>
    <w:semiHidden/>
    <w:rsid w:val="00540391"/>
    <w:rPr>
      <w:rFonts w:ascii="Times New Roman" w:hAnsi="Times New Roman"/>
      <w:b/>
      <w:bCs/>
      <w:lang w:val="is-IS"/>
    </w:rPr>
  </w:style>
  <w:style w:type="paragraph" w:styleId="BalloonText">
    <w:name w:val="Balloon Text"/>
    <w:basedOn w:val="Normal"/>
    <w:link w:val="BalloonTextChar"/>
    <w:uiPriority w:val="99"/>
    <w:semiHidden/>
    <w:unhideWhenUsed/>
    <w:rsid w:val="00540391"/>
    <w:rPr>
      <w:rFonts w:ascii="Tahoma" w:hAnsi="Tahoma" w:cs="Tahoma"/>
      <w:sz w:val="16"/>
      <w:szCs w:val="16"/>
    </w:rPr>
  </w:style>
  <w:style w:type="character" w:customStyle="1" w:styleId="BalloonTextChar">
    <w:name w:val="Balloon Text Char"/>
    <w:basedOn w:val="DefaultParagraphFont"/>
    <w:link w:val="BalloonText"/>
    <w:uiPriority w:val="99"/>
    <w:semiHidden/>
    <w:rsid w:val="00540391"/>
    <w:rPr>
      <w:rFonts w:ascii="Tahoma" w:hAnsi="Tahoma" w:cs="Tahoma"/>
      <w:sz w:val="16"/>
      <w:szCs w:val="16"/>
      <w:lang w:val="is-IS"/>
    </w:rPr>
  </w:style>
  <w:style w:type="paragraph" w:styleId="ListParagraph">
    <w:name w:val="List Paragraph"/>
    <w:basedOn w:val="Normal"/>
    <w:uiPriority w:val="34"/>
    <w:unhideWhenUsed/>
    <w:rsid w:val="00B77F92"/>
    <w:pPr>
      <w:ind w:left="720"/>
      <w:contextualSpacing/>
    </w:pPr>
  </w:style>
  <w:style w:type="character" w:styleId="FollowedHyperlink">
    <w:name w:val="FollowedHyperlink"/>
    <w:basedOn w:val="DefaultParagraphFont"/>
    <w:uiPriority w:val="99"/>
    <w:semiHidden/>
    <w:unhideWhenUsed/>
    <w:rsid w:val="004D52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hingi.is/altext/pdf/145/fylgiskjol/s1110-f_II.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1283</Words>
  <Characters>7317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HBR</Company>
  <LinksUpToDate>false</LinksUpToDate>
  <CharactersWithSpaces>8583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Þorbjörg Árnadóttir</dc:creator>
  <cp:lastModifiedBy>Álfhildur Álfþórsdóttir</cp:lastModifiedBy>
  <cp:revision>11</cp:revision>
  <cp:lastPrinted>2016-04-03T11:13:00Z</cp:lastPrinted>
  <dcterms:created xsi:type="dcterms:W3CDTF">2016-04-03T11:04:00Z</dcterms:created>
  <dcterms:modified xsi:type="dcterms:W3CDTF">2016-04-03T15:10:00Z</dcterms:modified>
</cp:coreProperties>
</file>