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CB2" w:rsidRPr="00873262" w:rsidRDefault="00873262" w:rsidP="00234CB2">
      <w:pPr>
        <w:rPr>
          <w:b/>
        </w:rPr>
      </w:pPr>
      <w:r w:rsidRPr="00873262">
        <w:rPr>
          <w:b/>
          <w:sz w:val="24"/>
          <w:szCs w:val="24"/>
          <w:lang w:val="en-CA"/>
        </w:rPr>
        <w:fldChar w:fldCharType="begin"/>
      </w:r>
      <w:r w:rsidRPr="00873262">
        <w:rPr>
          <w:b/>
          <w:sz w:val="24"/>
          <w:szCs w:val="24"/>
          <w:lang w:val="en-CA"/>
        </w:rPr>
        <w:instrText xml:space="preserve"> SEQ CHAPTER \h \r 1</w:instrText>
      </w:r>
      <w:r w:rsidRPr="00873262">
        <w:rPr>
          <w:b/>
          <w:sz w:val="24"/>
          <w:szCs w:val="24"/>
          <w:lang w:val="en-CA"/>
        </w:rPr>
        <w:fldChar w:fldCharType="end"/>
      </w:r>
      <w:r w:rsidRPr="00873262">
        <w:rPr>
          <w:b/>
          <w:bCs/>
          <w:szCs w:val="21"/>
        </w:rPr>
        <w:t xml:space="preserve">Þingskjal </w:t>
      </w:r>
      <w:r>
        <w:rPr>
          <w:b/>
          <w:bCs/>
          <w:szCs w:val="21"/>
        </w:rPr>
        <w:t>1213</w:t>
      </w:r>
      <w:r w:rsidRPr="00873262">
        <w:rPr>
          <w:b/>
          <w:bCs/>
          <w:szCs w:val="21"/>
        </w:rPr>
        <w:t>  —  </w:t>
      </w:r>
      <w:r>
        <w:rPr>
          <w:b/>
          <w:bCs/>
          <w:szCs w:val="21"/>
        </w:rPr>
        <w:t>741</w:t>
      </w:r>
      <w:r w:rsidRPr="00873262">
        <w:rPr>
          <w:b/>
          <w:bCs/>
          <w:szCs w:val="21"/>
        </w:rPr>
        <w:t>. mál.</w:t>
      </w:r>
    </w:p>
    <w:p w:rsidR="00234CB2" w:rsidRDefault="00234CB2" w:rsidP="00234CB2">
      <w:pPr>
        <w:pStyle w:val="Fyrirsgn-skjalategund"/>
      </w:pPr>
      <w:r>
        <w:t>Tillaga til þingsályktunar</w:t>
      </w:r>
    </w:p>
    <w:p w:rsidR="00234CB2" w:rsidRDefault="00234CB2" w:rsidP="00234CB2">
      <w:pPr>
        <w:pStyle w:val="Fyrirsgn-undirfyrirsgn"/>
      </w:pPr>
      <w:r>
        <w:t>um fjármálastefnu fyrir árin 2017–2021</w:t>
      </w:r>
      <w:r w:rsidR="00624BE2">
        <w:t>.</w:t>
      </w:r>
      <w:bookmarkStart w:id="0" w:name="_GoBack"/>
      <w:bookmarkEnd w:id="0"/>
    </w:p>
    <w:p w:rsidR="00234CB2" w:rsidRDefault="00234CB2" w:rsidP="00234CB2"/>
    <w:p w:rsidR="00234CB2" w:rsidRDefault="00234CB2" w:rsidP="00234CB2">
      <w:pPr>
        <w:pStyle w:val="Normalmija"/>
      </w:pPr>
      <w:r>
        <w:t>(Lögð fyrir Alþingi á 145</w:t>
      </w:r>
      <w:r w:rsidRPr="00707D37">
        <w:t>. löggjafarþingi 201</w:t>
      </w:r>
      <w:r>
        <w:t>5–2016</w:t>
      </w:r>
      <w:r w:rsidRPr="00707D37">
        <w:t>.)</w:t>
      </w:r>
    </w:p>
    <w:p w:rsidR="00234CB2" w:rsidRDefault="00234CB2" w:rsidP="00234CB2">
      <w:pPr>
        <w:pStyle w:val="Strik"/>
      </w:pPr>
    </w:p>
    <w:p w:rsidR="00234CB2" w:rsidRDefault="00234CB2" w:rsidP="00234CB2"/>
    <w:p w:rsidR="00234CB2" w:rsidRDefault="00234CB2" w:rsidP="00234CB2"/>
    <w:p w:rsidR="00234CB2" w:rsidRDefault="00234CB2" w:rsidP="00234CB2">
      <w:pPr>
        <w:pStyle w:val="ListParagraph"/>
        <w:spacing w:after="0"/>
        <w:ind w:left="0"/>
      </w:pPr>
      <w:r>
        <w:tab/>
        <w:t>Alþingi ályktar, sbr. lög 123/2015, um opinber fjármál, að stjórnvöld fylgi stefnumörkun um opinber fjármál fyrir árin 2017–2021 samkvæmt eftirfarandi yfirliti um áformaða afkomu- og skuldaþróun opinberra aðila, þ.e. hins opinbera og fyrirtækja í eigu þess</w:t>
      </w:r>
      <w:r>
        <w:rPr>
          <w:rStyle w:val="FootnoteReference"/>
        </w:rPr>
        <w:footnoteReference w:id="1"/>
      </w:r>
      <w:r>
        <w:t xml:space="preserve"> fyrir fjárlagaárið 2017 og næstu fjögur ár þar á eftir á grundvelli þeirra forsendna sem fjármála</w:t>
      </w:r>
      <w:r>
        <w:softHyphen/>
        <w:t xml:space="preserve">stefnan er reist á. </w:t>
      </w:r>
    </w:p>
    <w:p w:rsidR="00234CB2" w:rsidRDefault="00234CB2" w:rsidP="00234CB2">
      <w:pPr>
        <w:pStyle w:val="ListParagraph"/>
        <w:spacing w:after="0"/>
        <w:ind w:left="0"/>
      </w:pPr>
    </w:p>
    <w:p w:rsidR="00234CB2" w:rsidRDefault="00234CB2" w:rsidP="00234CB2">
      <w:r>
        <w:fldChar w:fldCharType="begin"/>
      </w:r>
      <w:r>
        <w:instrText xml:space="preserve"> LINK Excel.Sheet.12 "\\\\arnar\\r09-fjarlask\\Rikisfjarmal\\Fjarlagarit og thingskjol\\Voráætlun\\2017\\Fjármálastefna-T01.xlsx" "" \p \f 0 </w:instrText>
      </w:r>
      <w:r>
        <w:fldChar w:fldCharType="separate"/>
      </w:r>
      <w:r>
        <w:rPr>
          <w:noProof/>
          <w:lang w:eastAsia="is-IS"/>
        </w:rPr>
        <w:drawing>
          <wp:inline distT="0" distB="0" distL="0" distR="0">
            <wp:extent cx="5003165" cy="276923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03165" cy="2769235"/>
                    </a:xfrm>
                    <a:prstGeom prst="rect">
                      <a:avLst/>
                    </a:prstGeom>
                    <a:noFill/>
                    <a:ln>
                      <a:noFill/>
                    </a:ln>
                  </pic:spPr>
                </pic:pic>
              </a:graphicData>
            </a:graphic>
          </wp:inline>
        </w:drawing>
      </w:r>
      <w:r>
        <w:fldChar w:fldCharType="end"/>
      </w:r>
    </w:p>
    <w:p w:rsidR="00234CB2" w:rsidRDefault="00234CB2" w:rsidP="00234CB2"/>
    <w:p w:rsidR="00234CB2" w:rsidRDefault="00234CB2" w:rsidP="00234CB2">
      <w:pPr>
        <w:jc w:val="left"/>
        <w:rPr>
          <w:spacing w:val="44"/>
        </w:rPr>
      </w:pPr>
      <w:r>
        <w:br w:type="page"/>
      </w:r>
    </w:p>
    <w:p w:rsidR="00234CB2" w:rsidRDefault="00234CB2" w:rsidP="00234CB2">
      <w:pPr>
        <w:pStyle w:val="Fyrirsgn-athugasemdir"/>
      </w:pPr>
      <w:r>
        <w:lastRenderedPageBreak/>
        <w:t>Athugasemdir við þingsályktunartillögu þessa.</w:t>
      </w:r>
    </w:p>
    <w:p w:rsidR="00234CB2" w:rsidRDefault="00234CB2" w:rsidP="00234CB2">
      <w:pPr>
        <w:pStyle w:val="ListParagraph"/>
        <w:ind w:left="0"/>
      </w:pPr>
      <w:r>
        <w:t xml:space="preserve"> </w:t>
      </w:r>
    </w:p>
    <w:p w:rsidR="00234CB2" w:rsidRDefault="00234CB2" w:rsidP="00234CB2">
      <w:r>
        <w:tab/>
      </w:r>
      <w:r w:rsidRPr="006E5DD2">
        <w:t>Með lögum nr. 123/2015, um opinber fjármál, voru sett lagaákvæði um stefnumörkun í opinberum fjármálum</w:t>
      </w:r>
      <w:r>
        <w:t xml:space="preserve"> til fimm ára</w:t>
      </w:r>
      <w:r w:rsidRPr="006E5DD2">
        <w:t>. Þar á meðal eru ákvæði um að fjármála- og efnahags</w:t>
      </w:r>
      <w:r>
        <w:softHyphen/>
      </w:r>
      <w:r w:rsidRPr="006E5DD2">
        <w:t>ráðherra skuli leggja fram tvær þingsályktunartillögur á því sviði. Önnur þingsályktunin nefnist fjármálastefna og skal hún lögð fram svo fljótt sem auðið er eftir að ríkisstjórn hefur verið mynduð</w:t>
      </w:r>
      <w:r>
        <w:t>.</w:t>
      </w:r>
      <w:r w:rsidRPr="006E5DD2">
        <w:t xml:space="preserve"> </w:t>
      </w:r>
      <w:r>
        <w:t>Hún er</w:t>
      </w:r>
      <w:r w:rsidRPr="006E5DD2">
        <w:t xml:space="preserve"> nú í fyrsta sinn lögð fram á </w:t>
      </w:r>
      <w:r>
        <w:t xml:space="preserve">þessu </w:t>
      </w:r>
      <w:r w:rsidRPr="006E5DD2">
        <w:t>vo</w:t>
      </w:r>
      <w:r>
        <w:t>rþingi</w:t>
      </w:r>
      <w:r w:rsidRPr="006E5DD2">
        <w:t xml:space="preserve"> þar sem lögin tóku gildi í byrjun þessa árs. Fjármálastefnan skal afmarka umfang, afkomu og þróun eigna, skulda og langtíma</w:t>
      </w:r>
      <w:r>
        <w:softHyphen/>
      </w:r>
      <w:r w:rsidRPr="006E5DD2">
        <w:t xml:space="preserve">skuldbindinga hins opinbera til fimm ára. Markmið stefnunnar skulu sett fram sem hlutföll af landsframleiðslu (VLF). Þá skal fjármálastefnan byggjast á grunngildum um sjálfbærni opinberra skuldbindinga til skemmri og lengri tíma litið, varfærni í jafnvægi á milli tekna og gjalda, stöðugleika í efnahagsmálum, festu í stefnu og áætlunum um þróun opinberra fjármála og gagnsæi í skýrum og mælanlegum markmiðum til meðallangs tíma. Megin tilgangur fjármálastefnunnar er að stuðla að efnahagslegu jafnvægi til lengri tíma litið til </w:t>
      </w:r>
      <w:r>
        <w:t xml:space="preserve">þess að </w:t>
      </w:r>
      <w:r w:rsidRPr="006E5DD2">
        <w:t xml:space="preserve">sem mestur stöðugleiki verði í efnahag fyrirtækja og heimila sem og opinberra aðila og til </w:t>
      </w:r>
      <w:r>
        <w:t xml:space="preserve">þess </w:t>
      </w:r>
      <w:r w:rsidRPr="006E5DD2">
        <w:t xml:space="preserve">að treysta skilyrði fyrir sem hagkvæmastri nýtingu mannafla, fjármagns og auðlinda. Þá leiðir fjármálastefnan fram hvernig stjórnvöld hyggjast mæta kröfum laganna um </w:t>
      </w:r>
      <w:r>
        <w:t xml:space="preserve">að </w:t>
      </w:r>
      <w:r w:rsidRPr="006E5DD2">
        <w:t>stöðugleika og sjálfbærni opinberra fjármála verði náð.</w:t>
      </w:r>
      <w:r>
        <w:t xml:space="preserve"> </w:t>
      </w:r>
      <w:r w:rsidRPr="006B45E3">
        <w:t xml:space="preserve">Í </w:t>
      </w:r>
      <w:r>
        <w:t>lögunum</w:t>
      </w:r>
      <w:r w:rsidRPr="006B45E3">
        <w:t xml:space="preserve"> felst einnig það nýmæli að stefnumörkun í o</w:t>
      </w:r>
      <w:r>
        <w:t>pinberum fjármálum nái ekki ein</w:t>
      </w:r>
      <w:r w:rsidRPr="006B45E3">
        <w:t>göngu til starfsemi ríkisins heldur einnig til starfsemi annarra opinberra aðila,</w:t>
      </w:r>
      <w:r>
        <w:t xml:space="preserve"> þ.e. til starfsemi sveitarfélaga og fyrirtækja í eigu ríkis og sveitarfélaga.</w:t>
      </w:r>
      <w:r w:rsidRPr="006B45E3">
        <w:t xml:space="preserve"> Með þessu móti verður </w:t>
      </w:r>
      <w:r>
        <w:t>betur kleift að meta</w:t>
      </w:r>
      <w:r w:rsidRPr="006B45E3">
        <w:t xml:space="preserve"> </w:t>
      </w:r>
      <w:r>
        <w:t>efnahags</w:t>
      </w:r>
      <w:r>
        <w:softHyphen/>
      </w:r>
      <w:r w:rsidRPr="006B45E3">
        <w:t xml:space="preserve">áhrif </w:t>
      </w:r>
      <w:r>
        <w:t xml:space="preserve">af </w:t>
      </w:r>
      <w:r w:rsidRPr="006B45E3">
        <w:t xml:space="preserve">starfsemi </w:t>
      </w:r>
      <w:r>
        <w:t xml:space="preserve">allra </w:t>
      </w:r>
      <w:r w:rsidRPr="006B45E3">
        <w:t xml:space="preserve">þessara </w:t>
      </w:r>
      <w:r>
        <w:t xml:space="preserve">opinberu </w:t>
      </w:r>
      <w:r w:rsidRPr="006B45E3">
        <w:t xml:space="preserve">aðila á þjóðarbúskapinn og </w:t>
      </w:r>
      <w:r>
        <w:t xml:space="preserve">að </w:t>
      </w:r>
      <w:r w:rsidRPr="006B45E3">
        <w:t>beita opinberum fjár</w:t>
      </w:r>
      <w:r>
        <w:softHyphen/>
      </w:r>
      <w:r w:rsidRPr="006B45E3">
        <w:t xml:space="preserve">málum </w:t>
      </w:r>
      <w:r>
        <w:t>til</w:t>
      </w:r>
      <w:r w:rsidRPr="006B45E3">
        <w:t xml:space="preserve"> hagstjórn</w:t>
      </w:r>
      <w:r>
        <w:t>ar</w:t>
      </w:r>
      <w:r w:rsidRPr="006B45E3">
        <w:t>.</w:t>
      </w:r>
      <w:r>
        <w:t xml:space="preserve"> Einn helsti v</w:t>
      </w:r>
      <w:r w:rsidRPr="005D6DCB">
        <w:t xml:space="preserve">eikleiki stefnumörkunar á sviði opinberra fjármála </w:t>
      </w:r>
      <w:r>
        <w:t xml:space="preserve">hér á landi </w:t>
      </w:r>
      <w:r w:rsidRPr="005D6DCB">
        <w:t xml:space="preserve">hefur einkum verið talinn sá að </w:t>
      </w:r>
      <w:r>
        <w:t>athyglin hafi beinst um of að starfsemi</w:t>
      </w:r>
      <w:r w:rsidRPr="005D6DCB">
        <w:t xml:space="preserve"> A</w:t>
      </w:r>
      <w:r>
        <w:t>–</w:t>
      </w:r>
      <w:r w:rsidRPr="005D6DCB">
        <w:t>hluta ríkis</w:t>
      </w:r>
      <w:r>
        <w:softHyphen/>
      </w:r>
      <w:r w:rsidRPr="005D6DCB">
        <w:t>sjóð</w:t>
      </w:r>
      <w:r>
        <w:t>s</w:t>
      </w:r>
      <w:r w:rsidRPr="005D6DCB">
        <w:t xml:space="preserve"> </w:t>
      </w:r>
      <w:r>
        <w:t>á komandi</w:t>
      </w:r>
      <w:r w:rsidRPr="005D6DCB">
        <w:t xml:space="preserve"> fjárlagaár</w:t>
      </w:r>
      <w:r>
        <w:t>i</w:t>
      </w:r>
      <w:r w:rsidRPr="005D6DCB">
        <w:t xml:space="preserve"> en síður </w:t>
      </w:r>
      <w:r>
        <w:t xml:space="preserve">hafi verið </w:t>
      </w:r>
      <w:r w:rsidRPr="005D6DCB">
        <w:t xml:space="preserve">horft til hins opinbera í heild eða til lengri tíma. </w:t>
      </w:r>
    </w:p>
    <w:p w:rsidR="00234CB2" w:rsidRDefault="00234CB2" w:rsidP="00234CB2">
      <w:r>
        <w:tab/>
      </w:r>
      <w:r w:rsidRPr="006B45E3">
        <w:t xml:space="preserve">Hin þingsályktunin </w:t>
      </w:r>
      <w:r>
        <w:t xml:space="preserve">varðandi stefnumörkun </w:t>
      </w:r>
      <w:r w:rsidRPr="006B45E3">
        <w:t xml:space="preserve">um opinber fjármál sem kveðið er á </w:t>
      </w:r>
      <w:r>
        <w:t xml:space="preserve">um </w:t>
      </w:r>
      <w:r w:rsidRPr="006B45E3">
        <w:t>í lögunum</w:t>
      </w:r>
      <w:r>
        <w:t xml:space="preserve"> </w:t>
      </w:r>
      <w:r w:rsidRPr="006B45E3">
        <w:t>nefnist fjármálaáætlun</w:t>
      </w:r>
      <w:r>
        <w:t xml:space="preserve"> </w:t>
      </w:r>
      <w:r w:rsidRPr="006B45E3">
        <w:t>og skal hún lögð fram á Alþingi endurskoðuð eigi síðar en 1. apríl ár hvert. Þessi árlega voráætlun tekur einnig til fimm ára og skal hún reist á g</w:t>
      </w:r>
      <w:r>
        <w:t>rundvelli fjármála</w:t>
      </w:r>
      <w:r w:rsidRPr="006B45E3">
        <w:t xml:space="preserve">stefnunnar. Markmið um afkomu- og skuldaferil hins opinbera til næstu fimm ára verða því þau sömu í fjármálaáætluninni og þau sem tilgreind eru samkvæmt </w:t>
      </w:r>
      <w:r>
        <w:t>þessari tillögu að fjármálastefnu</w:t>
      </w:r>
      <w:r w:rsidRPr="006B45E3">
        <w:t>. Í fjármálaáætluninni er sett fram greining á stöðu og horfum í efnahagsmálum og fjármálum opinberra aðila ásamt markmiðum og áætlunum um fram</w:t>
      </w:r>
      <w:r>
        <w:softHyphen/>
      </w:r>
      <w:r w:rsidRPr="006B45E3">
        <w:t>vinduna í fjármálum ríkis, sveitarfélaga og félaga í þeirra eigu. Fjármálaáætlunin felur þannig í sér frekari útfærslu á markmiðum fjármálastefnu</w:t>
      </w:r>
      <w:r>
        <w:t>nnar</w:t>
      </w:r>
      <w:r w:rsidRPr="006B45E3">
        <w:t xml:space="preserve"> og nánari stefnumörkun um þróun tekna, gjalda og efnahags opinberra aðila. Í þessu felst m.a. að með áætluninni leggi stjórnvöld fyrir skattastefnu og megináherslur í tekjuöflun á tímabilinu og einnig að fram komi mótuð áform um þróun útgjalda skipt eftir hagrænni flokkun og eftir málefnasviðum ríkisstarfseminnar. </w:t>
      </w:r>
    </w:p>
    <w:p w:rsidR="00234CB2" w:rsidRDefault="00234CB2" w:rsidP="00234CB2">
      <w:r>
        <w:tab/>
        <w:t>Nánari umfjöllun um efnahagshorfur og þróun opinberra fjármála kemur fram í greinar</w:t>
      </w:r>
      <w:r>
        <w:softHyphen/>
        <w:t>gerð með tillögu að þingsályktun um fjármálaætlun fyrir árin 2017–2021, sem lögð er fram samhliða þessari tillögu. Hér er einungis vikið stuttlega að megin stefnumiðunum sem gengið hefur verið út frá í þessari áætlanagerð en að öðru leyti er vísað til umfjöllunarinnar í greinargerðinni með fjármálaáætluninni.</w:t>
      </w:r>
    </w:p>
    <w:p w:rsidR="00234CB2" w:rsidRDefault="00234CB2" w:rsidP="00234CB2">
      <w:r>
        <w:tab/>
      </w:r>
      <w:r w:rsidRPr="00C2133E">
        <w:t xml:space="preserve">Lykilatriðin í fjármálastefnunni </w:t>
      </w:r>
      <w:r>
        <w:t>sem hér eru sett fram snúa að</w:t>
      </w:r>
      <w:r w:rsidRPr="00C2133E">
        <w:t xml:space="preserve"> markmið</w:t>
      </w:r>
      <w:r>
        <w:t>um</w:t>
      </w:r>
      <w:r w:rsidRPr="00C2133E">
        <w:t xml:space="preserve"> um þróun afkomu og skulda hins opinbera </w:t>
      </w:r>
      <w:r>
        <w:t>eins og fram</w:t>
      </w:r>
      <w:r w:rsidRPr="00C2133E">
        <w:t xml:space="preserve"> </w:t>
      </w:r>
      <w:r>
        <w:t xml:space="preserve">kemur </w:t>
      </w:r>
      <w:r w:rsidRPr="00C2133E">
        <w:t>í töflu</w:t>
      </w:r>
      <w:r>
        <w:t xml:space="preserve"> hér á undan</w:t>
      </w:r>
      <w:r w:rsidRPr="00C2133E">
        <w:t xml:space="preserve">. </w:t>
      </w:r>
      <w:r>
        <w:t>Ástæða er til að vekja sérstaklega athygli á því að afkomumarkmiðin í stefnunni fela ekki í sér teljandi tekju</w:t>
      </w:r>
      <w:r>
        <w:softHyphen/>
        <w:t>áhrif af stöðugleikaframlögum frá slitabúum fallinna fjármálafyrirtækja á tímabilinu. Í fjár</w:t>
      </w:r>
      <w:r>
        <w:softHyphen/>
      </w:r>
      <w:r>
        <w:lastRenderedPageBreak/>
        <w:t>lögum ársins 2016 var áætlað að tiltekinn hluti teknanna, eða um 35 mia.kr., mundi færast til tekna hjá ríkissjóði á komandi árum en við nánari skoðun á reikningshaldslegri meðferð hefur verið afráðið að allar tekjurnar færist á árið 2016. Hafa þær tekjur því ekki áhrif á afkomuna eftir það nema ef endurmeta þarf áætlað virði eignanna til hækkunar eða lækkunar þegar þær innleysast. Í markmiðum stefnunnar um skuldaþróun ríkissjóðs gætir hins vegar talsverðra áhrifa af ráðstöfun stöðugleikaframlaga til lækkunar á skuldum. Þær áætlanir byggjast þó á vissum varfærnissjónarmiðum þar sem um helmingur stöðugleika</w:t>
      </w:r>
      <w:r>
        <w:softHyphen/>
        <w:t xml:space="preserve">framlaganna felst í eignarhlut í Íslandsbanka sem óvissa er um hvenær verði unnt að umbreyta í laust fé og ráðstafa til að greiða niður skuldir án þess að valda þensluáhrifum. Er því ekki gert ráð fyrir því í áætlanagerð fjármálastefnunnar um skuldaþróun og afleiddan fjármagnskostnað að þeim fjármunum verði ráðstafað með slíkum hætti á tímabilinu. Hins vegar er miðað við að önnur stöðugleikaframlög komi að fullu til lækkunar á skuldum, þ.m.t. að skuldabréf sem gefið var út til að endurreisa eiginfjárstöðu Seðlabankans verði greitt upp á yfirstandandi ári í samræmi við forsendur fjárlaga 2016. Komi til þess á áætlunartímabilinu að unnt reynist að ganga frá sölu á eignarhlutum í viðskiptabönkunum mun því að öðru óbreyttu nást betri árangur en hér er gert ráð fyrir. </w:t>
      </w:r>
    </w:p>
    <w:p w:rsidR="00234CB2" w:rsidRDefault="00234CB2" w:rsidP="00234CB2">
      <w:r>
        <w:tab/>
        <w:t xml:space="preserve">Með fjármálastefnunni sem hér er kynnt hafa stjórnvöld sett sér markmið um að næstu fimm árin verði heildarafkoma hins opinbera jákvæð sem nemur a.m.k. 1% af VLF árlega, þ.e. A–hluti ríkis og A–hluti sveitarfélaga, í því skyni </w:t>
      </w:r>
      <w:r w:rsidRPr="002114E1">
        <w:t>að viðhalda efnahagslegum stöðugleika í þjóð</w:t>
      </w:r>
      <w:r>
        <w:t>arbúskapnum</w:t>
      </w:r>
      <w:r w:rsidRPr="002114E1">
        <w:t xml:space="preserve"> og lækka skuldir hins opinbera niður fyrir lögbundið </w:t>
      </w:r>
      <w:r>
        <w:t>skuldahlutfall</w:t>
      </w:r>
      <w:r w:rsidRPr="002114E1">
        <w:t>.</w:t>
      </w:r>
      <w:r>
        <w:t xml:space="preserve"> Efnahagsleg framvinda og horfur benda til þess samkvæmt spám að hin hefðbundna íslenska eftirspurnar</w:t>
      </w:r>
      <w:r>
        <w:softHyphen/>
        <w:t>þensla – með vexti þjóðarútgjalda umfram landsframleiðslu – sé enn og aftur hafin eða í aðsigi þótt tekist hafi all vel að halda jafnvægi í hagkerfinu á síðasta ári.</w:t>
      </w:r>
      <w:r w:rsidRPr="002114E1">
        <w:t xml:space="preserve"> Seðla</w:t>
      </w:r>
      <w:r>
        <w:softHyphen/>
      </w:r>
      <w:r w:rsidRPr="002114E1">
        <w:t>bankinn hefur brugðist við aukinni þenslu síðustu misseri með a</w:t>
      </w:r>
      <w:r>
        <w:t>uknu aðhaldi í peningamála</w:t>
      </w:r>
      <w:r>
        <w:softHyphen/>
        <w:t>stefnunni. Þá gefa þenslueinkennin tilefni til að leitast verði við að varna því að fjármála</w:t>
      </w:r>
      <w:r>
        <w:softHyphen/>
        <w:t>stöðug</w:t>
      </w:r>
      <w:r>
        <w:softHyphen/>
        <w:t>leiki fjármálamarkaðar geti raskast. Mikilvægt</w:t>
      </w:r>
      <w:r w:rsidRPr="002114E1">
        <w:t xml:space="preserve"> </w:t>
      </w:r>
      <w:r>
        <w:t xml:space="preserve">er </w:t>
      </w:r>
      <w:r w:rsidRPr="002114E1">
        <w:t>að fjármála</w:t>
      </w:r>
      <w:r>
        <w:t>stefnan</w:t>
      </w:r>
      <w:r w:rsidRPr="002114E1">
        <w:t xml:space="preserve"> vinni með peninga</w:t>
      </w:r>
      <w:r>
        <w:softHyphen/>
        <w:t>mála</w:t>
      </w:r>
      <w:r w:rsidRPr="002114E1">
        <w:t xml:space="preserve">stefnunni að stöðugleika í </w:t>
      </w:r>
      <w:r>
        <w:t>hagkerfinu og að aðhaldsstig opinberra fjármála</w:t>
      </w:r>
      <w:r w:rsidRPr="002114E1">
        <w:t xml:space="preserve"> verði viðhaldið á komandi árum.</w:t>
      </w:r>
      <w:r>
        <w:t xml:space="preserve"> Í ljósi þessa er það stefna stjórnvalda að áhrif af fjármálum hins opinbera verði til þess að draga úr heildareftirspurn og auka þjóðhagslegan sparnað og styðji þar með við peningamálastefnu Seðlabankans.</w:t>
      </w:r>
    </w:p>
    <w:p w:rsidR="00234CB2" w:rsidRDefault="00234CB2" w:rsidP="00234CB2">
      <w:pPr>
        <w:ind w:firstLine="284"/>
      </w:pPr>
      <w:r>
        <w:t xml:space="preserve">Markmið stjórnvalda um að heildarafkoma hins opinbera verði jákvæð um a.m.k. 1% af VLF svarar til </w:t>
      </w:r>
      <w:r w:rsidRPr="00486A6C">
        <w:t>um 170</w:t>
      </w:r>
      <w:r>
        <w:t xml:space="preserve"> mia.kr. uppsafnaðs afgangs á afkomunni yfir næstu fimm árin. Í sam</w:t>
      </w:r>
      <w:r>
        <w:softHyphen/>
        <w:t>komu</w:t>
      </w:r>
      <w:r>
        <w:softHyphen/>
        <w:t xml:space="preserve">lagi ríkis og sveitarfélaga í aðdraganda stefnumörkunarinnar hefur verið sammælst um að ganga út frá því að </w:t>
      </w:r>
      <w:r w:rsidRPr="00F962B4">
        <w:t>allur afgangur á afkomu hins opinbera myndist hjá A</w:t>
      </w:r>
      <w:r>
        <w:t>–</w:t>
      </w:r>
      <w:r w:rsidRPr="00F962B4">
        <w:t>hluta ríkis</w:t>
      </w:r>
      <w:r>
        <w:softHyphen/>
      </w:r>
      <w:r w:rsidRPr="00F962B4">
        <w:t xml:space="preserve">sjóðs </w:t>
      </w:r>
      <w:r>
        <w:t>en</w:t>
      </w:r>
      <w:r w:rsidRPr="00F962B4">
        <w:t xml:space="preserve"> að afkoma A</w:t>
      </w:r>
      <w:r>
        <w:t>–</w:t>
      </w:r>
      <w:r w:rsidRPr="00F962B4">
        <w:t xml:space="preserve">hluta sveitarfélaga verði í </w:t>
      </w:r>
      <w:r>
        <w:t>jafnvægi yfir tímabilið. Til að ná fram þessum afkomu</w:t>
      </w:r>
      <w:r>
        <w:softHyphen/>
        <w:t>markmiðum er meðal annars stefnt að því að fjárfestingar hins opinbera fylgi hag</w:t>
      </w:r>
      <w:r>
        <w:softHyphen/>
        <w:t>vexti næstu ár og hækki ekki teljandi sem hlutfall af vergri landsframleiðslu á sama tíma og aðhaldi verður viðhaldið að öðru leyti á útgjaldahliðinni þrátt fyrir að verulegur þrýstingur sé nú á fjárfestingastig opinberra aðila eftir hátt aðhaldsstig frá árinu 2008.</w:t>
      </w:r>
    </w:p>
    <w:p w:rsidR="00234CB2" w:rsidRDefault="00234CB2" w:rsidP="00234CB2">
      <w:pPr>
        <w:ind w:firstLine="284"/>
      </w:pPr>
      <w:r>
        <w:t xml:space="preserve">Varðandi stefnu stjórnvalda um </w:t>
      </w:r>
      <w:r w:rsidRPr="00DA378A">
        <w:t>heildarafkomu opinberra aðila í heild er ljóst að erfitt verður að beita æskilegu aðhaldsstigi hjá fyrirtækjum í opinberri eigu á næstu árum þar sem mikil þörf hefur myndast fyrir nauðsynlega uppbyggingu í innviðum samfélagsins, einkum á sviði orku- og samgönguinnviða. Lágt viðhalds- og fjárfestingarstig undanfarin ár ásamt gríðarlegum vexti í ferðaþjónustu hefur kallað á aukna uppbyggingu í flugumferðar</w:t>
      </w:r>
      <w:r w:rsidRPr="00DA378A">
        <w:softHyphen/>
        <w:t>mann</w:t>
      </w:r>
      <w:r>
        <w:softHyphen/>
      </w:r>
      <w:r w:rsidRPr="00DA378A">
        <w:t>virkjum samhliða fjárfestingum í orkuframleiðslu og raforkudreifingu. Stefna stjórnvalda er því að heildarafkoma opinberra aðila í heild</w:t>
      </w:r>
      <w:r>
        <w:t xml:space="preserve"> verði í jafnvægi árin 2017 og 2018, en skili síðan afgangi sem nemi um 1% af VLF að meðaltali árin 2019–2021. Þar sem stefnt er að því að A–hluti ríkis og sveitarfélaga, hið opinbera, skili afkomuafgangi sem nemi a.m.k. 1% af VLF felur þetta í sér að talsverður halli verður á heildarafkomu fyrirtækja í opinberu eigu </w:t>
      </w:r>
      <w:r>
        <w:lastRenderedPageBreak/>
        <w:t>næstu tvö til þrjú árin sökum mikilla fjárfestinga en að þau ættu að verða í nokkuð góðu jafn</w:t>
      </w:r>
      <w:r>
        <w:softHyphen/>
        <w:t>vægi sem heild á síðari hluta tímabilsins. Við þær aðstæður sem nú eru uppi, að eftir</w:t>
      </w:r>
      <w:r>
        <w:softHyphen/>
        <w:t>spurnar</w:t>
      </w:r>
      <w:r>
        <w:softHyphen/>
        <w:t>spenna hefur myndast í hagkerfinu, er hins vegar ekki nægjanlegt að draga úr eftir</w:t>
      </w:r>
      <w:r>
        <w:softHyphen/>
        <w:t>spurnar</w:t>
      </w:r>
      <w:r>
        <w:softHyphen/>
        <w:t>áhrifum fjárfestinga A–hluta ríkissjóðs og sveitarfélaga. Ekki er síður mikilvægt að tryggja að fyrirtæki í eigu hins opinbera auki ekki á vandann með fjárfestingum sem geta beðið og æskilegt er að geta ráðist í þegar á hægir. Á það m.a. við um orkuöflun og innviða</w:t>
      </w:r>
      <w:r>
        <w:softHyphen/>
        <w:t>fjárfestingar í samgöngum.</w:t>
      </w:r>
    </w:p>
    <w:p w:rsidR="00234CB2" w:rsidRDefault="00234CB2" w:rsidP="00234CB2">
      <w:pPr>
        <w:ind w:firstLine="284"/>
      </w:pPr>
      <w:r>
        <w:t>Stjórnvöld hafa jafnframt afkomumarkmiði sett sér skuldamarkmið sem felur í sér að heildar</w:t>
      </w:r>
      <w:r>
        <w:softHyphen/>
        <w:t>skuldir</w:t>
      </w:r>
      <w:r>
        <w:rPr>
          <w:rStyle w:val="FootnoteReference"/>
        </w:rPr>
        <w:footnoteReference w:id="2"/>
      </w:r>
      <w:r>
        <w:t xml:space="preserve"> A–hluta ríkissjóðs lækki verulega á tímabilinu, eða úr um 32% af VLF í </w:t>
      </w:r>
      <w:r w:rsidRPr="00922F98">
        <w:t>árslok 2016</w:t>
      </w:r>
      <w:r>
        <w:t xml:space="preserve"> í um 21% af VLF í árslok 2021. Til að ná svo krefjandi markmiði þarf mun meira að koma til en afgangur á afkomu sem nemur 1% af VLF árlega. Áformuð lækkun á skulda</w:t>
      </w:r>
      <w:r>
        <w:softHyphen/>
        <w:t>hlutfallinu leiðir reyndar að stórum hluta af áætluðum vexti í landsframleiðslunni á tíma</w:t>
      </w:r>
      <w:r>
        <w:softHyphen/>
        <w:t>bilinu en umtalsverður hluti, sem svarar til um 180 mia.kr. lækkunar á nafnvirði skuld</w:t>
      </w:r>
      <w:r>
        <w:softHyphen/>
        <w:t xml:space="preserve">anna á tímabilinu, byggist </w:t>
      </w:r>
      <w:r w:rsidRPr="00220182">
        <w:t>á tilteknum forsendum um ráðstöfun óreglulegra tekna á borð við arðgreiðslur</w:t>
      </w:r>
      <w:r>
        <w:t>,</w:t>
      </w:r>
      <w:r w:rsidRPr="00220182">
        <w:t xml:space="preserve"> sölu á eignarhlutum í fjármálastofnunum</w:t>
      </w:r>
      <w:r>
        <w:t xml:space="preserve"> í nokkrum mæli og ráðstöfunum í endur</w:t>
      </w:r>
      <w:r>
        <w:softHyphen/>
        <w:t>fjármögnun tekinna lána. Auk þess eru væntingar um að stöðuleikaframlögum frá slita</w:t>
      </w:r>
      <w:r>
        <w:softHyphen/>
        <w:t>búum bankanna verði varið í þessu skyni að því marki sem unnt verður að umbreyta eignum í laust fé og án þess að það leiði til aukningar í peningamagni í umferð eða hafi þensluáhrif en slíkar ráðstafanir og tímasetning þeirra er óvissu háð</w:t>
      </w:r>
      <w:r w:rsidRPr="00220182">
        <w:t>.</w:t>
      </w:r>
      <w:r>
        <w:t xml:space="preserve"> Í samkomulagi við sveitarfélögin er gengið út frá því að rekstur sveitarfélaga verði sjálfbær í þeim skilningi að skuldir þeirra sem hlutfall af VLF fari heldur lækkandi, eða sem svarar til nálægt 1 prósentustigi á tímabilinu, og er þá átt við bæði A– og B–hluta sveitarfélaga. Stefnan er því að skuldir hins opinbera muni fara úr um 39% af VLF í </w:t>
      </w:r>
      <w:r w:rsidRPr="00922F98">
        <w:t>árslok 2016</w:t>
      </w:r>
      <w:r>
        <w:t xml:space="preserve"> í um 26% af VLF árið 2021. Þá er stefnt að því að heildarskuldir opinberra aðila að meðtöldum opinberum fyrirtækjum </w:t>
      </w:r>
      <w:r w:rsidRPr="001F3498">
        <w:t>lækki um 16 prósentu</w:t>
      </w:r>
      <w:r>
        <w:softHyphen/>
      </w:r>
      <w:r w:rsidRPr="001F3498">
        <w:t>stig af VLF á tímabilinu og fari úr 66% af VLF</w:t>
      </w:r>
      <w:r>
        <w:t xml:space="preserve"> í árslok</w:t>
      </w:r>
      <w:r w:rsidRPr="001F3498">
        <w:t xml:space="preserve"> 2016 í </w:t>
      </w:r>
      <w:r>
        <w:t>49</w:t>
      </w:r>
      <w:r w:rsidRPr="001F3498">
        <w:t xml:space="preserve">% </w:t>
      </w:r>
      <w:r>
        <w:t xml:space="preserve">í árslok </w:t>
      </w:r>
      <w:r w:rsidRPr="001F3498">
        <w:t>2021.</w:t>
      </w:r>
      <w:r>
        <w:t xml:space="preserve"> </w:t>
      </w:r>
    </w:p>
    <w:p w:rsidR="00234CB2" w:rsidRDefault="00234CB2" w:rsidP="00234CB2">
      <w:pPr>
        <w:ind w:firstLine="284"/>
      </w:pPr>
      <w:r>
        <w:tab/>
        <w:t>Rétt er að vekja athygli á því að í stefnumörkun um lækkun skulda ríkissjóðs er hér gengið út frá því að hlutfall þeirra af landsframleiðslu verði 2 prósentustigum hærra í lok tíma</w:t>
      </w:r>
      <w:r>
        <w:softHyphen/>
        <w:t>bilsins, árið 2021, en fyrirliggjandi útreikningar benda til eins og fram kemur í fjármála</w:t>
      </w:r>
      <w:r>
        <w:softHyphen/>
        <w:t>áætlun fyrir sama tímabil. Byggir það á varfærnissjónarmiðum til að gefa nokkuð svigrúm fyrir skekkjumörk í reikniforsendum og öðrum ákvarðandi þáttum skuldaþróuninnar. Koma þessi vikmörk þá fram í sama mæli í hlutfallstölum stefnunnar fyrir hið opinbera og opinbera aðila í heild.</w:t>
      </w:r>
    </w:p>
    <w:p w:rsidR="00234CB2" w:rsidRDefault="00234CB2" w:rsidP="00234CB2">
      <w:pPr>
        <w:ind w:firstLine="284"/>
      </w:pPr>
      <w:r w:rsidRPr="005D7A13">
        <w:t>Í lögunum um opinber fjármál er kveðið á um að fjármálastefna og fjármálaáætlun verði í samræmi við tvær megin fjármálareglur. Í fyrsta lagi að heildarjöfnuður hins opinbera yfir fimm ára tímabil skuli vera jákvæður og að árlegur halli fari aldrei yfir 2,5% af lands</w:t>
      </w:r>
      <w:r>
        <w:softHyphen/>
      </w:r>
      <w:r w:rsidRPr="005D7A13">
        <w:t xml:space="preserve">framleiðslu. Gert er ráð fyrir að þetta ákvæði taki til komandi fimm ára og </w:t>
      </w:r>
      <w:r>
        <w:t xml:space="preserve">eins og hér hefur komið fram </w:t>
      </w:r>
      <w:r w:rsidRPr="005D7A13">
        <w:t>er reiknað með að rekstur hins opinbera verði hallalaus öll árin</w:t>
      </w:r>
      <w:r>
        <w:t xml:space="preserve"> og þar með að sú fjár</w:t>
      </w:r>
      <w:r>
        <w:softHyphen/>
        <w:t>mála</w:t>
      </w:r>
      <w:r>
        <w:softHyphen/>
        <w:t>regla verði fyllilega uppfyllt</w:t>
      </w:r>
      <w:r w:rsidRPr="005D7A13">
        <w:t>. Í öðru lagi</w:t>
      </w:r>
      <w:r>
        <w:t>,</w:t>
      </w:r>
      <w:r w:rsidRPr="005D7A13">
        <w:t xml:space="preserve"> að heildarskuldir, að frátöldum lífeyris</w:t>
      </w:r>
      <w:r>
        <w:softHyphen/>
      </w:r>
      <w:r w:rsidRPr="005D7A13">
        <w:t>skuld</w:t>
      </w:r>
      <w:r>
        <w:softHyphen/>
      </w:r>
      <w:r w:rsidRPr="005D7A13">
        <w:t>bindingum, viðskiptaskuldum og tilteknum peningalegum eignum, verði lægri en 30% af VLF en annars ber að lækka þann hluta skuldanna sem umfram er um a.m.k. 5% að meðal</w:t>
      </w:r>
      <w:r>
        <w:softHyphen/>
      </w:r>
      <w:r w:rsidRPr="005D7A13">
        <w:t xml:space="preserve">tali árlega á hverju þriggja ára tímabili. Útlit er fyrir að á fyrsta ári </w:t>
      </w:r>
      <w:r>
        <w:t>fjármála</w:t>
      </w:r>
      <w:r>
        <w:softHyphen/>
        <w:t>áætlunar</w:t>
      </w:r>
      <w:r>
        <w:softHyphen/>
        <w:t>innar, árið 2017,</w:t>
      </w:r>
      <w:r w:rsidRPr="005D7A13">
        <w:t xml:space="preserve"> verði skuldastaða hins opinbera á þennan mælikvarða einungis 3 prósentu</w:t>
      </w:r>
      <w:r>
        <w:softHyphen/>
      </w:r>
      <w:r w:rsidRPr="005D7A13">
        <w:t xml:space="preserve">stigum hærri en skilyrði fjármálareglunnar og </w:t>
      </w:r>
      <w:r>
        <w:t xml:space="preserve">er stefnt </w:t>
      </w:r>
      <w:r w:rsidRPr="005D7A13">
        <w:t xml:space="preserve">að </w:t>
      </w:r>
      <w:r>
        <w:t xml:space="preserve">því að </w:t>
      </w:r>
      <w:r w:rsidRPr="005D7A13">
        <w:t>hún verði komin undir þetta hámark þegar á öðru ári áætlunarinnar.</w:t>
      </w:r>
      <w:r>
        <w:t xml:space="preserve"> Rétt er að árétta að markmið um 30% skuldahlutfall að hámarki felur í sér að skuldir skuli ávallt vera undir því marki, en æskilegt er að þær verði vel undir því.</w:t>
      </w:r>
    </w:p>
    <w:p w:rsidR="00234CB2" w:rsidRDefault="00234CB2" w:rsidP="00234CB2">
      <w:pPr>
        <w:ind w:firstLine="284"/>
      </w:pPr>
      <w:r>
        <w:lastRenderedPageBreak/>
        <w:t>Seint verður ofmetið við hagstjórn m</w:t>
      </w:r>
      <w:r w:rsidRPr="002114E1">
        <w:t xml:space="preserve">ikilvægi væntinga og stjórnun þeirra </w:t>
      </w:r>
      <w:r>
        <w:t>enda þarf l</w:t>
      </w:r>
      <w:r w:rsidRPr="002114E1">
        <w:t xml:space="preserve">ítið út af að bregða til að </w:t>
      </w:r>
      <w:r>
        <w:t xml:space="preserve">aðstæður </w:t>
      </w:r>
      <w:r w:rsidRPr="002114E1">
        <w:t>skapist fyrir vaxandi verðbólgu, samhliða rýrnun kaupmáttar og versnandi lífskj</w:t>
      </w:r>
      <w:r>
        <w:t>örum</w:t>
      </w:r>
      <w:r w:rsidRPr="002114E1">
        <w:t xml:space="preserve">. Mikilvægt er </w:t>
      </w:r>
      <w:r>
        <w:t xml:space="preserve">því </w:t>
      </w:r>
      <w:r w:rsidRPr="002114E1">
        <w:t xml:space="preserve">að samstaða náist við þjóðina um </w:t>
      </w:r>
      <w:r>
        <w:t>þær hagstjórnar</w:t>
      </w:r>
      <w:r>
        <w:softHyphen/>
        <w:t>áherslur sem felast í fjármálastefnunni og að skuldir verði greiddar niður og v</w:t>
      </w:r>
      <w:r w:rsidRPr="002114E1">
        <w:t xml:space="preserve">axtabyrði </w:t>
      </w:r>
      <w:r>
        <w:t>lækkuð til að</w:t>
      </w:r>
      <w:r w:rsidRPr="002114E1">
        <w:t xml:space="preserve"> </w:t>
      </w:r>
      <w:r>
        <w:t>mynda</w:t>
      </w:r>
      <w:r w:rsidRPr="002114E1">
        <w:t xml:space="preserve"> svigrúm </w:t>
      </w:r>
      <w:r>
        <w:t>fyrir bætta</w:t>
      </w:r>
      <w:r w:rsidRPr="002114E1">
        <w:t xml:space="preserve"> þjónustu hins opinbera</w:t>
      </w:r>
      <w:r>
        <w:t>. Þá er mikilvægt að undir</w:t>
      </w:r>
      <w:r>
        <w:softHyphen/>
        <w:t xml:space="preserve">strika að ofangreind afkomumarkmið ná einnig til félaga í eigu ríkis og sveitarfélaga því þau fela í sér að tekjur opinberra aðila í heild þurfi á næstu fimm árum að standa undir bæði rekstri og fjárfestingu þessara aðila, auk þess að skila afgangi til að greiða niður skuldir árlega sem nemur 1% af VLF. </w:t>
      </w:r>
    </w:p>
    <w:p w:rsidR="00234CB2" w:rsidRDefault="00234CB2" w:rsidP="00234CB2">
      <w:pPr>
        <w:ind w:firstLine="284"/>
      </w:pPr>
      <w:r>
        <w:t>Samkvæmt þjóðhagsspá Hagstofu Íslands sem fjármálastefnan byggir á er gert ráð fyrir að vöxtur VLF verði á bilinu 2,7–3,1% á tímabilinu 2017–2021. Þá er gert ráð fyrir að atvinnu</w:t>
      </w:r>
      <w:r>
        <w:softHyphen/>
        <w:t>stigið haldist í góðu jafnvægi á tímabilinu og að kaupmáttur launa vaxi í kringum 2–3% árlega eftir um 8% vöxt bæði árinu 2015 og 2016. Í ljósi þessarar hagfelldu hagvaxtar</w:t>
      </w:r>
      <w:r>
        <w:softHyphen/>
        <w:t>spár og þeirra vísbendinga sem eru fyrir hendi um að hagkerfið geti ofhitnað og verðbólga farið af stað ef ekki er gætt aðhalds í opinberum rekstri er það mat stjórnvalda að ofangreind hagstjórnar</w:t>
      </w:r>
      <w:r>
        <w:softHyphen/>
        <w:t>áhrif fjármálastefnunnar séu í samræmi við efnahagshorfurnar og uppfylli grunn</w:t>
      </w:r>
      <w:r>
        <w:softHyphen/>
        <w:t>gildi laga um opinbera fjármál. Þau stuðli að stöðuleika í hagkerfinu og aukinni sjálfbærni opinberra fjármála með reglulegri niðurgreiðslu skulda, auk niðurgreiðslna með sérstökum aðgerðum í efnahagsreikningi. Þá eykur þessi stefna festu í þjóðfélaginu þar sem markmið stjórnvalda sem endurspeglast í fjármálastefnunni eru skýr, einföld og ná til fimm ára tíma</w:t>
      </w:r>
      <w:r>
        <w:softHyphen/>
        <w:t>bils. Þau eru því skýr skilaboð til fyrirtækja og heimila um markmið og vegferð stjórnvalda í efna</w:t>
      </w:r>
      <w:r>
        <w:softHyphen/>
        <w:t>hags</w:t>
      </w:r>
      <w:r>
        <w:softHyphen/>
        <w:t>legu og hagstjórnarlegu tilliti til næstu ára. Þá er ljóst af þessum afkomu</w:t>
      </w:r>
      <w:r>
        <w:softHyphen/>
        <w:t>mark</w:t>
      </w:r>
      <w:r>
        <w:softHyphen/>
        <w:t>miðum að hæfilegt jafnvægi er á milli tekna og gjalda til lengri tíma og að ekki verði lagðar ósanngjarnar byrðar á komandi kynslóðir heldur verði fylgt varfærinni stefnu sem dregur úr skulda</w:t>
      </w:r>
      <w:r>
        <w:softHyphen/>
        <w:t>byrði og eykur svigrúm til að mæta frekari áskorunum, hvort heldur í mynd aukinnar þjónustu hins opinbera eða hugsanlegum fjárhagsáföllum.</w:t>
      </w:r>
      <w:r>
        <w:tab/>
      </w:r>
    </w:p>
    <w:p w:rsidR="00234CB2" w:rsidRDefault="00234CB2" w:rsidP="00234CB2">
      <w:pPr>
        <w:ind w:firstLine="284"/>
      </w:pPr>
      <w:r>
        <w:t>Fjármálastefnan byggir á hagfelldri hagspá fyrir tímabilið og getur það því haft áhrif á framgang stefnunnar og hvernig henni verði komið fram ef röskun verður á þeim forsendum og ýmsum öðrum óvissuþáttum, s.s. áhrif af losun fjármagnshafta, þróun mála á vinnu</w:t>
      </w:r>
      <w:r>
        <w:softHyphen/>
        <w:t>markaði, viðgangur fiskistofna, efnahagsþróun í viðskiptalöndum o.fl. Í lögum um opinber fjármál er gert ráð fyrir að ef grundvallarforsendur fjármálastefnunar bresta þá geti fjármála- og efnahagsráðherra lagt fram á Alþingi tillögu til þingsályktunar til breytingar á stefnunni, en skírskotun til varfærni sem eins þeirra grunngilda sem opinber stefnumörkun er reist á skv. lögum um opinber fjármál felur í sér að almennar forsendur eigi að geta raskast að nokkru marki án þess að endurskoða þurfi fjármálastefnuna eða efnahagslegri velferð sé teflt í tvísýnu.</w:t>
      </w:r>
    </w:p>
    <w:p w:rsidR="00CD5971" w:rsidRDefault="00CD5971"/>
    <w:sectPr w:rsidR="00CD5971" w:rsidSect="00025E84">
      <w:headerReference w:type="default" r:id="rId8"/>
      <w:headerReference w:type="first" r:id="rId9"/>
      <w:pgSz w:w="11906" w:h="16838" w:code="9"/>
      <w:pgMar w:top="1304" w:right="2778" w:bottom="3629"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062" w:rsidRDefault="00DD1062" w:rsidP="00234CB2">
      <w:r>
        <w:separator/>
      </w:r>
    </w:p>
  </w:endnote>
  <w:endnote w:type="continuationSeparator" w:id="0">
    <w:p w:rsidR="00DD1062" w:rsidRDefault="00DD1062" w:rsidP="00234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062" w:rsidRDefault="00DD1062" w:rsidP="00234CB2">
      <w:r>
        <w:separator/>
      </w:r>
    </w:p>
  </w:footnote>
  <w:footnote w:type="continuationSeparator" w:id="0">
    <w:p w:rsidR="00DD1062" w:rsidRDefault="00DD1062" w:rsidP="00234CB2">
      <w:r>
        <w:continuationSeparator/>
      </w:r>
    </w:p>
  </w:footnote>
  <w:footnote w:id="1">
    <w:p w:rsidR="00234CB2" w:rsidRDefault="00234CB2" w:rsidP="00234CB2">
      <w:pPr>
        <w:pStyle w:val="FootnoteText"/>
        <w:ind w:left="0" w:firstLine="0"/>
      </w:pPr>
      <w:r>
        <w:rPr>
          <w:rStyle w:val="FootnoteReference"/>
        </w:rPr>
        <w:footnoteRef/>
      </w:r>
      <w:r>
        <w:t xml:space="preserve"> </w:t>
      </w:r>
      <w:r w:rsidRPr="00934842">
        <w:rPr>
          <w:u w:val="single"/>
        </w:rPr>
        <w:t>Hið opinbera</w:t>
      </w:r>
      <w:r>
        <w:t xml:space="preserve"> nær til þeirrar starfsemi í þjóðarbúskapnum sem fjármögnuð er að mestu með skatttekjum, þ.e. A-hluta ríkissjóðs og A-hluta sveitarfélaga. </w:t>
      </w:r>
      <w:r w:rsidRPr="001642E5">
        <w:rPr>
          <w:u w:val="single"/>
        </w:rPr>
        <w:t>Fyrirtæki í eigu hins opinbera</w:t>
      </w:r>
      <w:r>
        <w:t xml:space="preserve"> eru sú atvinnustarfsemi sem er í meirihluta eigu hins opinbera og fjármagnar sig að mestu með sölu á vöru og þjónustu á markaði.  Hugtakið </w:t>
      </w:r>
      <w:r w:rsidRPr="001642E5">
        <w:rPr>
          <w:u w:val="single"/>
        </w:rPr>
        <w:t>opinberir aðilar</w:t>
      </w:r>
      <w:r>
        <w:rPr>
          <w:u w:val="single"/>
        </w:rPr>
        <w:t xml:space="preserve"> í heild</w:t>
      </w:r>
      <w:r>
        <w:t xml:space="preserve"> nær til hvort tveggja hins opinbera og fyrirtækja í meirihlutaeigu hins opinbera.  </w:t>
      </w:r>
    </w:p>
  </w:footnote>
  <w:footnote w:id="2">
    <w:p w:rsidR="00234CB2" w:rsidRDefault="00234CB2" w:rsidP="00234CB2">
      <w:pPr>
        <w:pStyle w:val="FootnoteText"/>
        <w:ind w:left="142" w:hanging="142"/>
      </w:pPr>
      <w:r>
        <w:rPr>
          <w:rStyle w:val="FootnoteReference"/>
        </w:rPr>
        <w:footnoteRef/>
      </w:r>
      <w:r>
        <w:t xml:space="preserve"> Heildarskuldir að frádregnum lífeyrisskuldbindingum og viðskiptaskuldum og að frádregnum sjóðum og bankainnistæðum, sbr. 7. gr. laga nr. 123/2015 um opinber fjármál.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2E5" w:rsidRDefault="00711C78" w:rsidP="00A612D0">
    <w:pPr>
      <w:pStyle w:val="Header"/>
      <w:tabs>
        <w:tab w:val="clear" w:pos="4536"/>
        <w:tab w:val="clear" w:pos="9072"/>
        <w:tab w:val="center" w:pos="3969"/>
        <w:tab w:val="right" w:pos="7797"/>
      </w:tabs>
    </w:pPr>
    <w:r>
      <w:tab/>
    </w:r>
    <w:r>
      <w:fldChar w:fldCharType="begin"/>
    </w:r>
    <w:r>
      <w:instrText>PAGE   \* MERGEFORMAT</w:instrText>
    </w:r>
    <w:r>
      <w:fldChar w:fldCharType="separate"/>
    </w:r>
    <w:r w:rsidR="00873262">
      <w:rPr>
        <w:noProof/>
      </w:rPr>
      <w:t>2</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2E5" w:rsidRPr="00484982" w:rsidRDefault="00711C78" w:rsidP="00484982">
    <w:pPr>
      <w:pStyle w:val="Header"/>
      <w:tabs>
        <w:tab w:val="clear" w:pos="4536"/>
        <w:tab w:val="clear" w:pos="9072"/>
        <w:tab w:val="center" w:pos="3969"/>
        <w:tab w:val="right" w:pos="7797"/>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CB2"/>
    <w:rsid w:val="00234CB2"/>
    <w:rsid w:val="00624BE2"/>
    <w:rsid w:val="00642601"/>
    <w:rsid w:val="00711C78"/>
    <w:rsid w:val="00873262"/>
    <w:rsid w:val="00CD5971"/>
    <w:rsid w:val="00DD1062"/>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CB2"/>
    <w:pPr>
      <w:spacing w:after="0" w:line="240" w:lineRule="auto"/>
      <w:jc w:val="both"/>
    </w:pPr>
    <w:rPr>
      <w:rFonts w:ascii="Times New Roman" w:eastAsia="Calibri" w:hAnsi="Times New Roman" w:cs="Times New Roman"/>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yrirsgn1">
    <w:name w:val="Fyrirsögn1"/>
    <w:basedOn w:val="Normal"/>
    <w:next w:val="Normal"/>
    <w:autoRedefine/>
    <w:qFormat/>
    <w:rsid w:val="00642601"/>
    <w:pPr>
      <w:keepNext/>
      <w:widowControl w:val="0"/>
      <w:numPr>
        <w:ilvl w:val="12"/>
      </w:numPr>
      <w:tabs>
        <w:tab w:val="left" w:pos="-650"/>
        <w:tab w:val="left" w:pos="0"/>
        <w:tab w:val="left" w:pos="283"/>
        <w:tab w:val="left" w:pos="567"/>
        <w:tab w:val="left" w:pos="85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left"/>
    </w:pPr>
    <w:rPr>
      <w:rFonts w:eastAsia="Times New Roman"/>
      <w:b/>
      <w:i/>
      <w:iCs/>
      <w:sz w:val="24"/>
      <w:szCs w:val="24"/>
      <w:lang w:eastAsia="is-IS"/>
    </w:rPr>
  </w:style>
  <w:style w:type="paragraph" w:customStyle="1" w:styleId="Greinarfyrirsgn">
    <w:name w:val="Greinarfyrirsögn"/>
    <w:basedOn w:val="Fyrirsgn1"/>
    <w:next w:val="Normal"/>
    <w:autoRedefine/>
    <w:qFormat/>
    <w:rsid w:val="00642601"/>
    <w:pPr>
      <w:jc w:val="center"/>
    </w:pPr>
  </w:style>
  <w:style w:type="paragraph" w:styleId="Title">
    <w:name w:val="Title"/>
    <w:basedOn w:val="Normal"/>
    <w:next w:val="Normal"/>
    <w:link w:val="TitleChar"/>
    <w:autoRedefine/>
    <w:uiPriority w:val="10"/>
    <w:qFormat/>
    <w:rsid w:val="00642601"/>
    <w:pPr>
      <w:widowControl w:val="0"/>
      <w:autoSpaceDE w:val="0"/>
      <w:autoSpaceDN w:val="0"/>
      <w:adjustRightInd w:val="0"/>
      <w:spacing w:before="240" w:after="60"/>
      <w:jc w:val="center"/>
      <w:outlineLvl w:val="0"/>
    </w:pPr>
    <w:rPr>
      <w:rFonts w:ascii="Cambria" w:eastAsia="Times New Roman" w:hAnsi="Cambria"/>
      <w:b/>
      <w:bCs/>
      <w:kern w:val="28"/>
      <w:sz w:val="28"/>
      <w:szCs w:val="32"/>
      <w:lang w:val="en-US"/>
    </w:rPr>
  </w:style>
  <w:style w:type="character" w:customStyle="1" w:styleId="TitleChar">
    <w:name w:val="Title Char"/>
    <w:link w:val="Title"/>
    <w:uiPriority w:val="10"/>
    <w:rsid w:val="00642601"/>
    <w:rPr>
      <w:rFonts w:ascii="Cambria" w:eastAsia="Times New Roman" w:hAnsi="Cambria" w:cs="Times New Roman"/>
      <w:b/>
      <w:bCs/>
      <w:kern w:val="28"/>
      <w:sz w:val="28"/>
      <w:szCs w:val="32"/>
      <w:lang w:val="en-US"/>
    </w:rPr>
  </w:style>
  <w:style w:type="paragraph" w:customStyle="1" w:styleId="Normalmija">
    <w:name w:val="Normal/miðjað"/>
    <w:basedOn w:val="Normal"/>
    <w:qFormat/>
    <w:rsid w:val="00234CB2"/>
    <w:pPr>
      <w:jc w:val="center"/>
    </w:pPr>
  </w:style>
  <w:style w:type="paragraph" w:customStyle="1" w:styleId="Fyrirsgn-athugasemdir">
    <w:name w:val="Fyrirsögn - athugasemdir"/>
    <w:basedOn w:val="Normal"/>
    <w:next w:val="Normal"/>
    <w:qFormat/>
    <w:rsid w:val="00234CB2"/>
    <w:pPr>
      <w:jc w:val="center"/>
    </w:pPr>
    <w:rPr>
      <w:spacing w:val="44"/>
    </w:rPr>
  </w:style>
  <w:style w:type="paragraph" w:customStyle="1" w:styleId="Strik">
    <w:name w:val="Strik"/>
    <w:basedOn w:val="Normal"/>
    <w:next w:val="Normal"/>
    <w:qFormat/>
    <w:rsid w:val="00234CB2"/>
    <w:pPr>
      <w:pBdr>
        <w:bottom w:val="single" w:sz="4" w:space="1" w:color="auto"/>
      </w:pBdr>
      <w:spacing w:before="120"/>
      <w:ind w:left="3402" w:right="3402"/>
    </w:pPr>
  </w:style>
  <w:style w:type="paragraph" w:customStyle="1" w:styleId="Fyrirsgn-skjalategund">
    <w:name w:val="Fyrirsögn - skjalategund"/>
    <w:basedOn w:val="Normal"/>
    <w:next w:val="Normal"/>
    <w:qFormat/>
    <w:rsid w:val="00234CB2"/>
    <w:pPr>
      <w:spacing w:before="720" w:after="360"/>
      <w:jc w:val="center"/>
    </w:pPr>
    <w:rPr>
      <w:b/>
      <w:sz w:val="38"/>
    </w:rPr>
  </w:style>
  <w:style w:type="paragraph" w:customStyle="1" w:styleId="Fyrirsgn-undirfyrirsgn">
    <w:name w:val="Fyrirsögn - undirfyrirsögn"/>
    <w:basedOn w:val="Normal"/>
    <w:next w:val="Normal"/>
    <w:qFormat/>
    <w:rsid w:val="00234CB2"/>
    <w:pPr>
      <w:jc w:val="center"/>
    </w:pPr>
    <w:rPr>
      <w:b/>
      <w:sz w:val="24"/>
    </w:rPr>
  </w:style>
  <w:style w:type="paragraph" w:styleId="Header">
    <w:name w:val="header"/>
    <w:basedOn w:val="Normal"/>
    <w:link w:val="HeaderChar"/>
    <w:uiPriority w:val="99"/>
    <w:unhideWhenUsed/>
    <w:rsid w:val="00234CB2"/>
    <w:pPr>
      <w:tabs>
        <w:tab w:val="center" w:pos="4536"/>
        <w:tab w:val="right" w:pos="9072"/>
      </w:tabs>
    </w:pPr>
  </w:style>
  <w:style w:type="character" w:customStyle="1" w:styleId="HeaderChar">
    <w:name w:val="Header Char"/>
    <w:basedOn w:val="DefaultParagraphFont"/>
    <w:link w:val="Header"/>
    <w:uiPriority w:val="99"/>
    <w:rsid w:val="00234CB2"/>
    <w:rPr>
      <w:rFonts w:ascii="Times New Roman" w:eastAsia="Calibri" w:hAnsi="Times New Roman" w:cs="Times New Roman"/>
      <w:sz w:val="21"/>
    </w:rPr>
  </w:style>
  <w:style w:type="paragraph" w:styleId="FootnoteText">
    <w:name w:val="footnote text"/>
    <w:basedOn w:val="Normal"/>
    <w:link w:val="FootnoteTextChar"/>
    <w:uiPriority w:val="99"/>
    <w:semiHidden/>
    <w:unhideWhenUsed/>
    <w:rsid w:val="00234CB2"/>
    <w:pPr>
      <w:ind w:left="284" w:hanging="284"/>
    </w:pPr>
    <w:rPr>
      <w:sz w:val="18"/>
      <w:szCs w:val="20"/>
    </w:rPr>
  </w:style>
  <w:style w:type="character" w:customStyle="1" w:styleId="FootnoteTextChar">
    <w:name w:val="Footnote Text Char"/>
    <w:basedOn w:val="DefaultParagraphFont"/>
    <w:link w:val="FootnoteText"/>
    <w:uiPriority w:val="99"/>
    <w:semiHidden/>
    <w:rsid w:val="00234CB2"/>
    <w:rPr>
      <w:rFonts w:ascii="Times New Roman" w:eastAsia="Calibri" w:hAnsi="Times New Roman" w:cs="Times New Roman"/>
      <w:sz w:val="18"/>
      <w:szCs w:val="20"/>
    </w:rPr>
  </w:style>
  <w:style w:type="character" w:styleId="FootnoteReference">
    <w:name w:val="footnote reference"/>
    <w:uiPriority w:val="99"/>
    <w:semiHidden/>
    <w:unhideWhenUsed/>
    <w:rsid w:val="00234CB2"/>
    <w:rPr>
      <w:vertAlign w:val="superscript"/>
    </w:rPr>
  </w:style>
  <w:style w:type="paragraph" w:styleId="ListParagraph">
    <w:name w:val="List Paragraph"/>
    <w:basedOn w:val="Normal"/>
    <w:uiPriority w:val="34"/>
    <w:unhideWhenUsed/>
    <w:qFormat/>
    <w:rsid w:val="00234CB2"/>
    <w:pPr>
      <w:spacing w:after="120"/>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CB2"/>
    <w:pPr>
      <w:spacing w:after="0" w:line="240" w:lineRule="auto"/>
      <w:jc w:val="both"/>
    </w:pPr>
    <w:rPr>
      <w:rFonts w:ascii="Times New Roman" w:eastAsia="Calibri" w:hAnsi="Times New Roman" w:cs="Times New Roman"/>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yrirsgn1">
    <w:name w:val="Fyrirsögn1"/>
    <w:basedOn w:val="Normal"/>
    <w:next w:val="Normal"/>
    <w:autoRedefine/>
    <w:qFormat/>
    <w:rsid w:val="00642601"/>
    <w:pPr>
      <w:keepNext/>
      <w:widowControl w:val="0"/>
      <w:numPr>
        <w:ilvl w:val="12"/>
      </w:numPr>
      <w:tabs>
        <w:tab w:val="left" w:pos="-650"/>
        <w:tab w:val="left" w:pos="0"/>
        <w:tab w:val="left" w:pos="283"/>
        <w:tab w:val="left" w:pos="567"/>
        <w:tab w:val="left" w:pos="85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left"/>
    </w:pPr>
    <w:rPr>
      <w:rFonts w:eastAsia="Times New Roman"/>
      <w:b/>
      <w:i/>
      <w:iCs/>
      <w:sz w:val="24"/>
      <w:szCs w:val="24"/>
      <w:lang w:eastAsia="is-IS"/>
    </w:rPr>
  </w:style>
  <w:style w:type="paragraph" w:customStyle="1" w:styleId="Greinarfyrirsgn">
    <w:name w:val="Greinarfyrirsögn"/>
    <w:basedOn w:val="Fyrirsgn1"/>
    <w:next w:val="Normal"/>
    <w:autoRedefine/>
    <w:qFormat/>
    <w:rsid w:val="00642601"/>
    <w:pPr>
      <w:jc w:val="center"/>
    </w:pPr>
  </w:style>
  <w:style w:type="paragraph" w:styleId="Title">
    <w:name w:val="Title"/>
    <w:basedOn w:val="Normal"/>
    <w:next w:val="Normal"/>
    <w:link w:val="TitleChar"/>
    <w:autoRedefine/>
    <w:uiPriority w:val="10"/>
    <w:qFormat/>
    <w:rsid w:val="00642601"/>
    <w:pPr>
      <w:widowControl w:val="0"/>
      <w:autoSpaceDE w:val="0"/>
      <w:autoSpaceDN w:val="0"/>
      <w:adjustRightInd w:val="0"/>
      <w:spacing w:before="240" w:after="60"/>
      <w:jc w:val="center"/>
      <w:outlineLvl w:val="0"/>
    </w:pPr>
    <w:rPr>
      <w:rFonts w:ascii="Cambria" w:eastAsia="Times New Roman" w:hAnsi="Cambria"/>
      <w:b/>
      <w:bCs/>
      <w:kern w:val="28"/>
      <w:sz w:val="28"/>
      <w:szCs w:val="32"/>
      <w:lang w:val="en-US"/>
    </w:rPr>
  </w:style>
  <w:style w:type="character" w:customStyle="1" w:styleId="TitleChar">
    <w:name w:val="Title Char"/>
    <w:link w:val="Title"/>
    <w:uiPriority w:val="10"/>
    <w:rsid w:val="00642601"/>
    <w:rPr>
      <w:rFonts w:ascii="Cambria" w:eastAsia="Times New Roman" w:hAnsi="Cambria" w:cs="Times New Roman"/>
      <w:b/>
      <w:bCs/>
      <w:kern w:val="28"/>
      <w:sz w:val="28"/>
      <w:szCs w:val="32"/>
      <w:lang w:val="en-US"/>
    </w:rPr>
  </w:style>
  <w:style w:type="paragraph" w:customStyle="1" w:styleId="Normalmija">
    <w:name w:val="Normal/miðjað"/>
    <w:basedOn w:val="Normal"/>
    <w:qFormat/>
    <w:rsid w:val="00234CB2"/>
    <w:pPr>
      <w:jc w:val="center"/>
    </w:pPr>
  </w:style>
  <w:style w:type="paragraph" w:customStyle="1" w:styleId="Fyrirsgn-athugasemdir">
    <w:name w:val="Fyrirsögn - athugasemdir"/>
    <w:basedOn w:val="Normal"/>
    <w:next w:val="Normal"/>
    <w:qFormat/>
    <w:rsid w:val="00234CB2"/>
    <w:pPr>
      <w:jc w:val="center"/>
    </w:pPr>
    <w:rPr>
      <w:spacing w:val="44"/>
    </w:rPr>
  </w:style>
  <w:style w:type="paragraph" w:customStyle="1" w:styleId="Strik">
    <w:name w:val="Strik"/>
    <w:basedOn w:val="Normal"/>
    <w:next w:val="Normal"/>
    <w:qFormat/>
    <w:rsid w:val="00234CB2"/>
    <w:pPr>
      <w:pBdr>
        <w:bottom w:val="single" w:sz="4" w:space="1" w:color="auto"/>
      </w:pBdr>
      <w:spacing w:before="120"/>
      <w:ind w:left="3402" w:right="3402"/>
    </w:pPr>
  </w:style>
  <w:style w:type="paragraph" w:customStyle="1" w:styleId="Fyrirsgn-skjalategund">
    <w:name w:val="Fyrirsögn - skjalategund"/>
    <w:basedOn w:val="Normal"/>
    <w:next w:val="Normal"/>
    <w:qFormat/>
    <w:rsid w:val="00234CB2"/>
    <w:pPr>
      <w:spacing w:before="720" w:after="360"/>
      <w:jc w:val="center"/>
    </w:pPr>
    <w:rPr>
      <w:b/>
      <w:sz w:val="38"/>
    </w:rPr>
  </w:style>
  <w:style w:type="paragraph" w:customStyle="1" w:styleId="Fyrirsgn-undirfyrirsgn">
    <w:name w:val="Fyrirsögn - undirfyrirsögn"/>
    <w:basedOn w:val="Normal"/>
    <w:next w:val="Normal"/>
    <w:qFormat/>
    <w:rsid w:val="00234CB2"/>
    <w:pPr>
      <w:jc w:val="center"/>
    </w:pPr>
    <w:rPr>
      <w:b/>
      <w:sz w:val="24"/>
    </w:rPr>
  </w:style>
  <w:style w:type="paragraph" w:styleId="Header">
    <w:name w:val="header"/>
    <w:basedOn w:val="Normal"/>
    <w:link w:val="HeaderChar"/>
    <w:uiPriority w:val="99"/>
    <w:unhideWhenUsed/>
    <w:rsid w:val="00234CB2"/>
    <w:pPr>
      <w:tabs>
        <w:tab w:val="center" w:pos="4536"/>
        <w:tab w:val="right" w:pos="9072"/>
      </w:tabs>
    </w:pPr>
  </w:style>
  <w:style w:type="character" w:customStyle="1" w:styleId="HeaderChar">
    <w:name w:val="Header Char"/>
    <w:basedOn w:val="DefaultParagraphFont"/>
    <w:link w:val="Header"/>
    <w:uiPriority w:val="99"/>
    <w:rsid w:val="00234CB2"/>
    <w:rPr>
      <w:rFonts w:ascii="Times New Roman" w:eastAsia="Calibri" w:hAnsi="Times New Roman" w:cs="Times New Roman"/>
      <w:sz w:val="21"/>
    </w:rPr>
  </w:style>
  <w:style w:type="paragraph" w:styleId="FootnoteText">
    <w:name w:val="footnote text"/>
    <w:basedOn w:val="Normal"/>
    <w:link w:val="FootnoteTextChar"/>
    <w:uiPriority w:val="99"/>
    <w:semiHidden/>
    <w:unhideWhenUsed/>
    <w:rsid w:val="00234CB2"/>
    <w:pPr>
      <w:ind w:left="284" w:hanging="284"/>
    </w:pPr>
    <w:rPr>
      <w:sz w:val="18"/>
      <w:szCs w:val="20"/>
    </w:rPr>
  </w:style>
  <w:style w:type="character" w:customStyle="1" w:styleId="FootnoteTextChar">
    <w:name w:val="Footnote Text Char"/>
    <w:basedOn w:val="DefaultParagraphFont"/>
    <w:link w:val="FootnoteText"/>
    <w:uiPriority w:val="99"/>
    <w:semiHidden/>
    <w:rsid w:val="00234CB2"/>
    <w:rPr>
      <w:rFonts w:ascii="Times New Roman" w:eastAsia="Calibri" w:hAnsi="Times New Roman" w:cs="Times New Roman"/>
      <w:sz w:val="18"/>
      <w:szCs w:val="20"/>
    </w:rPr>
  </w:style>
  <w:style w:type="character" w:styleId="FootnoteReference">
    <w:name w:val="footnote reference"/>
    <w:uiPriority w:val="99"/>
    <w:semiHidden/>
    <w:unhideWhenUsed/>
    <w:rsid w:val="00234CB2"/>
    <w:rPr>
      <w:vertAlign w:val="superscript"/>
    </w:rPr>
  </w:style>
  <w:style w:type="paragraph" w:styleId="ListParagraph">
    <w:name w:val="List Paragraph"/>
    <w:basedOn w:val="Normal"/>
    <w:uiPriority w:val="34"/>
    <w:unhideWhenUsed/>
    <w:qFormat/>
    <w:rsid w:val="00234CB2"/>
    <w:pPr>
      <w:spacing w:after="120"/>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2386</Words>
  <Characters>13606</Characters>
  <Application>Microsoft Office Word</Application>
  <DocSecurity>0</DocSecurity>
  <Lines>113</Lines>
  <Paragraphs>31</Paragraphs>
  <ScaleCrop>false</ScaleCrop>
  <Company/>
  <LinksUpToDate>false</LinksUpToDate>
  <CharactersWithSpaces>15961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Friðrik Magnússon</dc:creator>
  <cp:lastModifiedBy>Friðrik Magnússon</cp:lastModifiedBy>
  <cp:revision>3</cp:revision>
  <dcterms:created xsi:type="dcterms:W3CDTF">2016-04-29T13:34:00Z</dcterms:created>
  <dcterms:modified xsi:type="dcterms:W3CDTF">2016-04-29T13:44:00Z</dcterms:modified>
</cp:coreProperties>
</file>