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821B" w14:textId="1D0E156A" w:rsidR="00B440E6" w:rsidRDefault="00B440E6" w:rsidP="00B440E6">
      <w:pPr>
        <w:pStyle w:val="Nmeringsskjalsmls"/>
      </w:pPr>
      <w:r>
        <w:t>14</w:t>
      </w:r>
      <w:r w:rsidR="00823BC1">
        <w:t>8</w:t>
      </w:r>
      <w:r>
        <w:t xml:space="preserve">. löggjafarþing 2017–2018. </w:t>
      </w:r>
    </w:p>
    <w:p w14:paraId="2E324C4E" w14:textId="1C131B15" w:rsidR="00B440E6" w:rsidRDefault="00B440E6" w:rsidP="00B440E6">
      <w:pPr>
        <w:pStyle w:val="Nmeringsskjalsmls"/>
      </w:pPr>
      <w:r>
        <w:t xml:space="preserve">Þingskjal </w:t>
      </w:r>
      <w:r w:rsidR="00610E8C">
        <w:t>444</w:t>
      </w:r>
      <w:r>
        <w:t xml:space="preserve"> — </w:t>
      </w:r>
      <w:r w:rsidR="00610E8C">
        <w:t>333</w:t>
      </w:r>
      <w:r>
        <w:t xml:space="preserve">. mál. </w:t>
      </w:r>
    </w:p>
    <w:p w14:paraId="5AA627F9" w14:textId="77777777" w:rsidR="00B440E6" w:rsidRDefault="00B440E6" w:rsidP="00B440E6">
      <w:pPr>
        <w:pStyle w:val="Nmeringsskjalsmls"/>
      </w:pPr>
      <w:r>
        <w:t>Stjórnartillaga.</w:t>
      </w:r>
    </w:p>
    <w:p w14:paraId="33585AEB" w14:textId="77777777" w:rsidR="00B440E6" w:rsidRPr="004766EF" w:rsidRDefault="00B440E6" w:rsidP="00B440E6">
      <w:pPr>
        <w:pStyle w:val="Fyrirsgn-skjalategund"/>
        <w:spacing w:before="480" w:after="240"/>
      </w:pPr>
      <w:r w:rsidRPr="004766EF">
        <w:t>Tillaga til þingsályktunar</w:t>
      </w:r>
    </w:p>
    <w:p w14:paraId="5FA4AC95" w14:textId="77777777" w:rsidR="00B440E6" w:rsidRPr="006E6961" w:rsidRDefault="00B440E6" w:rsidP="00E86DD6">
      <w:pPr>
        <w:pStyle w:val="Fyrirsgn-undirfyrirsgn"/>
      </w:pPr>
      <w:r w:rsidRPr="006E6961">
        <w:t>um staðfestingu ákvörðuna</w:t>
      </w:r>
      <w:r w:rsidR="00C52742" w:rsidRPr="006E6961">
        <w:t>r</w:t>
      </w:r>
      <w:r w:rsidRPr="006E6961">
        <w:t xml:space="preserve"> sameiginlegu EES-nefndarinnar nr. 94/2017</w:t>
      </w:r>
    </w:p>
    <w:p w14:paraId="41E56F35" w14:textId="77777777" w:rsidR="006E6961" w:rsidRDefault="00B440E6" w:rsidP="00E86DD6">
      <w:pPr>
        <w:pStyle w:val="Fyrirsgn-undirfyrirsgn"/>
      </w:pPr>
      <w:r w:rsidRPr="006E6961">
        <w:t xml:space="preserve">um </w:t>
      </w:r>
      <w:r w:rsidRPr="00E86DD6">
        <w:t>breytingu á VII. viðauka (Gagnkvæm viðurkenning á starfsmenntun</w:t>
      </w:r>
    </w:p>
    <w:p w14:paraId="4B7DA758" w14:textId="76A109DD" w:rsidR="00B440E6" w:rsidRPr="00173CE2" w:rsidRDefault="00B440E6" w:rsidP="006E6961">
      <w:pPr>
        <w:pStyle w:val="Fyrirsgn-undirfyrirsgn"/>
        <w:rPr>
          <w:sz w:val="22"/>
        </w:rPr>
      </w:pPr>
      <w:r w:rsidRPr="00E86DD6">
        <w:t xml:space="preserve">og hæfi) </w:t>
      </w:r>
      <w:r w:rsidR="00DF766D" w:rsidRPr="00E86DD6">
        <w:t xml:space="preserve">og X. viðauka (Almenn þjónusta) </w:t>
      </w:r>
      <w:r w:rsidRPr="00E86DD6">
        <w:t>við EES-samninginn</w:t>
      </w:r>
      <w:r>
        <w:rPr>
          <w:sz w:val="22"/>
        </w:rPr>
        <w:t>.</w:t>
      </w:r>
    </w:p>
    <w:p w14:paraId="2E89C54B" w14:textId="77777777" w:rsidR="00B440E6" w:rsidRDefault="00B440E6" w:rsidP="00B440E6">
      <w:pPr>
        <w:pStyle w:val="Fyrirsgn-undirfyrirsgn"/>
      </w:pPr>
    </w:p>
    <w:p w14:paraId="76629E6B" w14:textId="77777777" w:rsidR="00B440E6" w:rsidRDefault="00B440E6" w:rsidP="00B440E6">
      <w:pPr>
        <w:pStyle w:val="Frrherra"/>
      </w:pPr>
      <w:r>
        <w:t>Frá utanríkisráðherra.</w:t>
      </w:r>
    </w:p>
    <w:p w14:paraId="40645659" w14:textId="77777777" w:rsidR="00B440E6" w:rsidRDefault="00B440E6" w:rsidP="00B440E6">
      <w:pPr>
        <w:rPr>
          <w:szCs w:val="21"/>
        </w:rPr>
      </w:pPr>
    </w:p>
    <w:p w14:paraId="4E852FF8" w14:textId="77777777" w:rsidR="00C0129C" w:rsidRDefault="00C0129C" w:rsidP="00B440E6">
      <w:pPr>
        <w:rPr>
          <w:szCs w:val="21"/>
        </w:rPr>
      </w:pPr>
    </w:p>
    <w:p w14:paraId="64516853" w14:textId="75CA6E63" w:rsidR="00B440E6" w:rsidRPr="00B440E6" w:rsidRDefault="00B440E6" w:rsidP="00B440E6">
      <w:pPr>
        <w:rPr>
          <w:color w:val="000000" w:themeColor="text1"/>
          <w:szCs w:val="21"/>
        </w:rPr>
      </w:pPr>
      <w:r w:rsidRPr="003A2C3E">
        <w:rPr>
          <w:szCs w:val="21"/>
        </w:rPr>
        <w:t>Alþingi ályktar að heimila ríkisstjórninni að staðfesta fyrir Íslands hönd ákvörðun sam</w:t>
      </w:r>
      <w:r w:rsidRPr="003A2C3E">
        <w:rPr>
          <w:szCs w:val="21"/>
        </w:rPr>
        <w:softHyphen/>
        <w:t>eiginlegu EES-nefndarinnar nr</w:t>
      </w:r>
      <w:r w:rsidRPr="00B440E6">
        <w:rPr>
          <w:szCs w:val="21"/>
        </w:rPr>
        <w:t xml:space="preserve">. 94/2017, um </w:t>
      </w:r>
      <w:proofErr w:type="spellStart"/>
      <w:r w:rsidRPr="00B440E6">
        <w:rPr>
          <w:szCs w:val="21"/>
        </w:rPr>
        <w:t>breyt</w:t>
      </w:r>
      <w:r w:rsidRPr="00B440E6">
        <w:rPr>
          <w:szCs w:val="21"/>
        </w:rPr>
        <w:softHyphen/>
        <w:t>ingu</w:t>
      </w:r>
      <w:proofErr w:type="spellEnd"/>
      <w:r w:rsidRPr="00B440E6">
        <w:rPr>
          <w:szCs w:val="21"/>
        </w:rPr>
        <w:t xml:space="preserve"> á VII. viðauka (Gagnkvæm viðurkenning á starfsmenntun og hæfi)</w:t>
      </w:r>
      <w:r>
        <w:rPr>
          <w:b/>
          <w:szCs w:val="21"/>
        </w:rPr>
        <w:t xml:space="preserve"> </w:t>
      </w:r>
      <w:r w:rsidR="00DF766D" w:rsidRPr="00F9731A">
        <w:rPr>
          <w:szCs w:val="21"/>
        </w:rPr>
        <w:t>og X. viðauka (Almenn þjónusta)</w:t>
      </w:r>
      <w:r w:rsidR="00DF766D">
        <w:rPr>
          <w:b/>
          <w:szCs w:val="21"/>
        </w:rPr>
        <w:t xml:space="preserve"> </w:t>
      </w:r>
      <w:r w:rsidRPr="003A2C3E">
        <w:rPr>
          <w:szCs w:val="21"/>
        </w:rPr>
        <w:t xml:space="preserve">við EES-samninginn frá 2. maí 1992, </w:t>
      </w:r>
      <w:r w:rsidRPr="00B440E6">
        <w:rPr>
          <w:color w:val="000000" w:themeColor="text1"/>
          <w:szCs w:val="21"/>
        </w:rPr>
        <w:t xml:space="preserve">og fella inn í samninginn </w:t>
      </w:r>
      <w:r>
        <w:rPr>
          <w:rFonts w:eastAsiaTheme="minorHAnsi"/>
          <w:color w:val="000000" w:themeColor="text1"/>
          <w:szCs w:val="21"/>
        </w:rPr>
        <w:t>t</w:t>
      </w:r>
      <w:r w:rsidRPr="00B440E6">
        <w:rPr>
          <w:rFonts w:eastAsiaTheme="minorHAnsi"/>
          <w:color w:val="000000" w:themeColor="text1"/>
          <w:szCs w:val="21"/>
        </w:rPr>
        <w:t xml:space="preserve">ilskipun Evrópuþingsins og ráðsins 2013/55/ESB frá 20. </w:t>
      </w:r>
      <w:proofErr w:type="spellStart"/>
      <w:r w:rsidRPr="00B440E6">
        <w:rPr>
          <w:rFonts w:eastAsiaTheme="minorHAnsi"/>
          <w:color w:val="000000" w:themeColor="text1"/>
          <w:szCs w:val="21"/>
        </w:rPr>
        <w:t>nóv</w:t>
      </w:r>
      <w:r w:rsidR="00705720">
        <w:rPr>
          <w:rFonts w:eastAsiaTheme="minorHAnsi"/>
          <w:color w:val="000000" w:themeColor="text1"/>
          <w:szCs w:val="21"/>
        </w:rPr>
        <w:softHyphen/>
      </w:r>
      <w:r w:rsidRPr="00B440E6">
        <w:rPr>
          <w:rFonts w:eastAsiaTheme="minorHAnsi"/>
          <w:color w:val="000000" w:themeColor="text1"/>
          <w:szCs w:val="21"/>
        </w:rPr>
        <w:t>ember</w:t>
      </w:r>
      <w:proofErr w:type="spellEnd"/>
      <w:r w:rsidRPr="00B440E6">
        <w:rPr>
          <w:rFonts w:eastAsiaTheme="minorHAnsi"/>
          <w:color w:val="000000" w:themeColor="text1"/>
          <w:szCs w:val="21"/>
        </w:rPr>
        <w:t xml:space="preserve"> 2013 um breytingu á tilskipun 2005/36/EB um viðurkenningu á faglegri menntun og hæfi og á reglugerð (ESB) nr. 1024/2012 um samvinnu á sviði stjórnsýslu fyrir tilstilli upplýsinga</w:t>
      </w:r>
      <w:r w:rsidR="00705720">
        <w:rPr>
          <w:rFonts w:eastAsiaTheme="minorHAnsi"/>
          <w:color w:val="000000" w:themeColor="text1"/>
          <w:szCs w:val="21"/>
        </w:rPr>
        <w:softHyphen/>
      </w:r>
      <w:r w:rsidRPr="00B440E6">
        <w:rPr>
          <w:rFonts w:eastAsiaTheme="minorHAnsi"/>
          <w:color w:val="000000" w:themeColor="text1"/>
          <w:szCs w:val="21"/>
        </w:rPr>
        <w:t xml:space="preserve">kerfisins fyrir innri markaðinn („reglugerðin um </w:t>
      </w:r>
      <w:proofErr w:type="spellStart"/>
      <w:r w:rsidRPr="00B440E6">
        <w:rPr>
          <w:rFonts w:eastAsiaTheme="minorHAnsi"/>
          <w:color w:val="000000" w:themeColor="text1"/>
          <w:szCs w:val="21"/>
        </w:rPr>
        <w:t>IM-upplýsingakerfið</w:t>
      </w:r>
      <w:proofErr w:type="spellEnd"/>
      <w:r w:rsidRPr="00B440E6">
        <w:rPr>
          <w:rFonts w:eastAsiaTheme="minorHAnsi"/>
          <w:color w:val="000000" w:themeColor="text1"/>
          <w:szCs w:val="21"/>
        </w:rPr>
        <w:t>“)</w:t>
      </w:r>
      <w:r w:rsidR="00C0129C">
        <w:rPr>
          <w:rFonts w:eastAsiaTheme="minorHAnsi"/>
          <w:color w:val="000000" w:themeColor="text1"/>
          <w:szCs w:val="21"/>
        </w:rPr>
        <w:t>.</w:t>
      </w:r>
    </w:p>
    <w:p w14:paraId="221C29BF" w14:textId="77777777" w:rsidR="00B440E6" w:rsidRDefault="00B440E6" w:rsidP="00B440E6"/>
    <w:p w14:paraId="2D7A45F3" w14:textId="77777777" w:rsidR="00B440E6" w:rsidRDefault="00B440E6" w:rsidP="00B440E6">
      <w:pPr>
        <w:pStyle w:val="Fyrirsgn-Greinarger"/>
      </w:pPr>
      <w:r>
        <w:t>Greinargerð.</w:t>
      </w:r>
    </w:p>
    <w:p w14:paraId="46DA52A5" w14:textId="77777777" w:rsidR="00B440E6" w:rsidRDefault="00B440E6" w:rsidP="00B440E6">
      <w:pPr>
        <w:pStyle w:val="Millifyrirsgn1"/>
      </w:pPr>
      <w:r>
        <w:t>1. Inngangur.</w:t>
      </w:r>
    </w:p>
    <w:p w14:paraId="40A155D7" w14:textId="74E6577C" w:rsidR="00B440E6" w:rsidRPr="00B440E6" w:rsidRDefault="00B440E6" w:rsidP="00E86DD6">
      <w:pPr>
        <w:rPr>
          <w:rFonts w:eastAsiaTheme="minorHAnsi"/>
          <w:iCs/>
          <w:color w:val="000000"/>
          <w:sz w:val="22"/>
        </w:rPr>
      </w:pPr>
      <w:r w:rsidRPr="00B440E6">
        <w:t>Með þingsályktunartillögu þessari er leitað heimildar Alþingis til staðfestingar á ákvörðun sam</w:t>
      </w:r>
      <w:r w:rsidRPr="00B440E6">
        <w:softHyphen/>
        <w:t xml:space="preserve">eiginlegu EES-nefndarinnar nr. 94/2017, um </w:t>
      </w:r>
      <w:proofErr w:type="spellStart"/>
      <w:r w:rsidRPr="00B440E6">
        <w:t>breyt</w:t>
      </w:r>
      <w:r w:rsidRPr="00B440E6">
        <w:softHyphen/>
        <w:t>ingu</w:t>
      </w:r>
      <w:proofErr w:type="spellEnd"/>
      <w:r w:rsidRPr="00B440E6">
        <w:t xml:space="preserve"> á VII. viðauka (Gagnkvæm viður</w:t>
      </w:r>
      <w:r w:rsidR="00644529">
        <w:softHyphen/>
      </w:r>
      <w:r w:rsidRPr="00B440E6">
        <w:t xml:space="preserve">kenning á starfsmenntun og hæfi) </w:t>
      </w:r>
      <w:r w:rsidR="00DF766D">
        <w:t xml:space="preserve">og X. viðauka (Almenn þjónusta) </w:t>
      </w:r>
      <w:r w:rsidRPr="00B440E6">
        <w:t xml:space="preserve">við EES-samninginn frá 2. maí 1992 (sbr. fylgiskjal I), </w:t>
      </w:r>
      <w:r w:rsidRPr="00B440E6">
        <w:rPr>
          <w:color w:val="000000" w:themeColor="text1"/>
        </w:rPr>
        <w:t xml:space="preserve">og </w:t>
      </w:r>
      <w:r w:rsidR="00644529">
        <w:rPr>
          <w:color w:val="000000" w:themeColor="text1"/>
        </w:rPr>
        <w:t xml:space="preserve">til að </w:t>
      </w:r>
      <w:r w:rsidRPr="00B440E6">
        <w:rPr>
          <w:color w:val="000000" w:themeColor="text1"/>
        </w:rPr>
        <w:t xml:space="preserve">fella inn í samninginn </w:t>
      </w:r>
      <w:r w:rsidRPr="00B440E6">
        <w:rPr>
          <w:rFonts w:eastAsiaTheme="minorHAnsi"/>
          <w:color w:val="000000" w:themeColor="text1"/>
        </w:rPr>
        <w:t xml:space="preserve">tilskipun Evrópuþingsins og ráðsins 2013/55/ESB frá 20. nóvember 2013 um breytingu á tilskipun 2005/36/EB um viðurkenningu á faglegri menntun og hæfi og á reglugerð (ESB) nr. 1024/2012 um samvinnu á sviði stjórnsýslu fyrir tilstilli upplýsingakerfisins fyrir innri markaðinn („reglugerðin um </w:t>
      </w:r>
      <w:proofErr w:type="spellStart"/>
      <w:r w:rsidRPr="00B440E6">
        <w:rPr>
          <w:rFonts w:eastAsiaTheme="minorHAnsi"/>
          <w:color w:val="000000" w:themeColor="text1"/>
        </w:rPr>
        <w:t>IM-upplýsingakerfið</w:t>
      </w:r>
      <w:proofErr w:type="spellEnd"/>
      <w:r w:rsidRPr="00B440E6">
        <w:rPr>
          <w:rFonts w:eastAsiaTheme="minorHAnsi"/>
          <w:color w:val="000000" w:themeColor="text1"/>
        </w:rPr>
        <w:t>“)</w:t>
      </w:r>
      <w:r w:rsidRPr="00B440E6">
        <w:rPr>
          <w:rFonts w:eastAsiaTheme="minorHAnsi"/>
          <w:i/>
          <w:iCs/>
          <w:color w:val="000000"/>
          <w:sz w:val="22"/>
        </w:rPr>
        <w:t xml:space="preserve"> </w:t>
      </w:r>
      <w:r w:rsidRPr="00B440E6">
        <w:rPr>
          <w:rFonts w:eastAsiaTheme="minorHAnsi"/>
          <w:iCs/>
          <w:color w:val="000000"/>
          <w:sz w:val="22"/>
        </w:rPr>
        <w:t>(sbr. fylgiskjal II).</w:t>
      </w:r>
    </w:p>
    <w:p w14:paraId="6DD3FE7E" w14:textId="2CFE2F2E" w:rsidR="00B440E6" w:rsidRPr="00A901E7" w:rsidRDefault="00B440E6" w:rsidP="00B440E6">
      <w:pPr>
        <w:rPr>
          <w:szCs w:val="21"/>
        </w:rPr>
      </w:pPr>
      <w:r w:rsidRPr="00A901E7">
        <w:rPr>
          <w:szCs w:val="21"/>
        </w:rPr>
        <w:t>Þar sem lagastoð va</w:t>
      </w:r>
      <w:r>
        <w:rPr>
          <w:szCs w:val="21"/>
        </w:rPr>
        <w:t>r ekki fyrir hendi fyrir framangreind</w:t>
      </w:r>
      <w:r w:rsidR="005D6ABC">
        <w:rPr>
          <w:szCs w:val="21"/>
        </w:rPr>
        <w:t>ri</w:t>
      </w:r>
      <w:r>
        <w:rPr>
          <w:szCs w:val="21"/>
        </w:rPr>
        <w:t xml:space="preserve"> gerð</w:t>
      </w:r>
      <w:r w:rsidRPr="00A901E7">
        <w:rPr>
          <w:szCs w:val="21"/>
        </w:rPr>
        <w:t xml:space="preserve"> var ákvörðun nr.</w:t>
      </w:r>
      <w:r>
        <w:rPr>
          <w:szCs w:val="21"/>
        </w:rPr>
        <w:t xml:space="preserve"> 94/2017 </w:t>
      </w:r>
      <w:r w:rsidRPr="00A901E7">
        <w:rPr>
          <w:szCs w:val="21"/>
        </w:rPr>
        <w:t xml:space="preserve">tekin af sameiginlegu </w:t>
      </w:r>
      <w:proofErr w:type="spellStart"/>
      <w:r w:rsidRPr="00A901E7">
        <w:rPr>
          <w:szCs w:val="21"/>
        </w:rPr>
        <w:t>EES-nefndinni</w:t>
      </w:r>
      <w:proofErr w:type="spellEnd"/>
      <w:r w:rsidRPr="00A901E7">
        <w:rPr>
          <w:szCs w:val="21"/>
        </w:rPr>
        <w:t xml:space="preserve"> með stjórnskipulegum fyrirvara af Íslands hálfu. Í tillögu þessari er gerð nánari grein fyrir því hvað felst í slíkum fyrirvara, sbr. 103. gr. EES-samn</w:t>
      </w:r>
      <w:r>
        <w:rPr>
          <w:szCs w:val="21"/>
        </w:rPr>
        <w:softHyphen/>
      </w:r>
      <w:r w:rsidRPr="00A901E7">
        <w:rPr>
          <w:szCs w:val="21"/>
        </w:rPr>
        <w:t>ings</w:t>
      </w:r>
      <w:r>
        <w:rPr>
          <w:szCs w:val="21"/>
        </w:rPr>
        <w:softHyphen/>
      </w:r>
      <w:r w:rsidRPr="00A901E7">
        <w:rPr>
          <w:szCs w:val="21"/>
        </w:rPr>
        <w:t xml:space="preserve">ins. Jafnframt er gerð grein fyrir efni </w:t>
      </w:r>
      <w:r>
        <w:rPr>
          <w:szCs w:val="21"/>
        </w:rPr>
        <w:t>gerða</w:t>
      </w:r>
      <w:r w:rsidR="005D6ABC">
        <w:rPr>
          <w:szCs w:val="21"/>
        </w:rPr>
        <w:t>ri</w:t>
      </w:r>
      <w:r>
        <w:rPr>
          <w:szCs w:val="21"/>
        </w:rPr>
        <w:t>nna</w:t>
      </w:r>
      <w:r w:rsidR="005D6ABC">
        <w:rPr>
          <w:szCs w:val="21"/>
        </w:rPr>
        <w:t>r</w:t>
      </w:r>
      <w:r w:rsidRPr="00A901E7">
        <w:rPr>
          <w:szCs w:val="21"/>
        </w:rPr>
        <w:t xml:space="preserve"> sem hér um ræðir. </w:t>
      </w:r>
      <w:r w:rsidR="005D6ABC">
        <w:rPr>
          <w:szCs w:val="21"/>
        </w:rPr>
        <w:t xml:space="preserve">Hún </w:t>
      </w:r>
      <w:r>
        <w:rPr>
          <w:szCs w:val="21"/>
        </w:rPr>
        <w:t>fel</w:t>
      </w:r>
      <w:r w:rsidR="005D6ABC">
        <w:rPr>
          <w:szCs w:val="21"/>
        </w:rPr>
        <w:t>ur</w:t>
      </w:r>
      <w:r w:rsidRPr="00A901E7">
        <w:rPr>
          <w:szCs w:val="21"/>
        </w:rPr>
        <w:t xml:space="preserve"> ekki í sér </w:t>
      </w:r>
      <w:proofErr w:type="spellStart"/>
      <w:r w:rsidRPr="00A901E7">
        <w:rPr>
          <w:szCs w:val="21"/>
        </w:rPr>
        <w:t>breyt</w:t>
      </w:r>
      <w:r>
        <w:rPr>
          <w:szCs w:val="21"/>
        </w:rPr>
        <w:softHyphen/>
      </w:r>
      <w:r w:rsidRPr="00A901E7">
        <w:rPr>
          <w:szCs w:val="21"/>
        </w:rPr>
        <w:t>ingar</w:t>
      </w:r>
      <w:proofErr w:type="spellEnd"/>
      <w:r w:rsidRPr="00A901E7">
        <w:rPr>
          <w:szCs w:val="21"/>
        </w:rPr>
        <w:t xml:space="preserve"> á þeim meginreglum sem í EES-samningnum felast.</w:t>
      </w:r>
    </w:p>
    <w:p w14:paraId="78D71B03" w14:textId="77777777" w:rsidR="00B440E6" w:rsidRDefault="00B440E6" w:rsidP="00B440E6"/>
    <w:p w14:paraId="6F342A03" w14:textId="77777777" w:rsidR="00B440E6" w:rsidRPr="00A901E7" w:rsidRDefault="00B440E6" w:rsidP="00B440E6">
      <w:pPr>
        <w:pStyle w:val="Millifyrirsgn1"/>
      </w:pPr>
      <w:r>
        <w:t xml:space="preserve">2. </w:t>
      </w:r>
      <w:r w:rsidRPr="00A901E7">
        <w:t xml:space="preserve">Um stjórnskipulegan fyrirvara. </w:t>
      </w:r>
    </w:p>
    <w:p w14:paraId="3F3CB2E5" w14:textId="77777777" w:rsidR="00B440E6" w:rsidRPr="00A901E7" w:rsidRDefault="00B440E6" w:rsidP="00B440E6">
      <w:pPr>
        <w:rPr>
          <w:szCs w:val="21"/>
        </w:rPr>
      </w:pPr>
      <w:r w:rsidRPr="00A901E7">
        <w:rPr>
          <w:szCs w:val="21"/>
        </w:rPr>
        <w:t>Samkvæmt EES-samningnum skuldbinda ákvarðanir sameiginlegu EES-nefndarinnar að</w:t>
      </w:r>
      <w:r>
        <w:rPr>
          <w:szCs w:val="21"/>
        </w:rPr>
        <w:softHyphen/>
      </w:r>
      <w:r w:rsidRPr="00A901E7">
        <w:rPr>
          <w:szCs w:val="21"/>
        </w:rPr>
        <w:t>ildar</w:t>
      </w:r>
      <w:r>
        <w:rPr>
          <w:szCs w:val="21"/>
        </w:rPr>
        <w:softHyphen/>
      </w:r>
      <w:r w:rsidRPr="00A901E7">
        <w:rPr>
          <w:szCs w:val="21"/>
        </w:rPr>
        <w:t>ríkin að þjóðarétti um leið og þær hafa verið teknar, nema eitthvert þeirra beiti heimild skv. 103. gr. EES-samningsins til að setja fyrirvara um að ákvörðun geti ekki orðið bindandi strax vegna stjórn</w:t>
      </w:r>
      <w:r w:rsidRPr="00A901E7">
        <w:rPr>
          <w:szCs w:val="21"/>
        </w:rPr>
        <w:softHyphen/>
        <w:t xml:space="preserve">skipulegra skilyrða heima fyrir. Viðkomandi aðildarríki hefur þá sex mánaða frest frá töku ákvörðunar í sameiginlegu nefndinni til að aflétta fyrirvaranum. </w:t>
      </w:r>
    </w:p>
    <w:p w14:paraId="16A7D422" w14:textId="77777777" w:rsidR="00B440E6" w:rsidRPr="00A901E7" w:rsidRDefault="00B440E6" w:rsidP="00B440E6">
      <w:pPr>
        <w:rPr>
          <w:szCs w:val="21"/>
        </w:rPr>
      </w:pPr>
      <w:r w:rsidRPr="00A901E7">
        <w:rPr>
          <w:szCs w:val="21"/>
        </w:rPr>
        <w:t>Að því er Ísland varðar hefur stjórnskipulegur fyrirvari almennt einungis verið gerður þegar innleiðing ákvörðunar ka</w:t>
      </w:r>
      <w:r>
        <w:rPr>
          <w:szCs w:val="21"/>
        </w:rPr>
        <w:t>llar á lagabreytingar hér landi</w:t>
      </w:r>
      <w:r w:rsidRPr="00A901E7">
        <w:rPr>
          <w:szCs w:val="21"/>
        </w:rPr>
        <w:t xml:space="preserve"> en í því tilviki leiðir af 21. gr. </w:t>
      </w:r>
      <w:proofErr w:type="spellStart"/>
      <w:r w:rsidRPr="00A901E7">
        <w:rPr>
          <w:szCs w:val="21"/>
        </w:rPr>
        <w:t>stjórnar</w:t>
      </w:r>
      <w:r w:rsidRPr="00A901E7">
        <w:rPr>
          <w:szCs w:val="21"/>
        </w:rPr>
        <w:softHyphen/>
      </w:r>
      <w:r w:rsidRPr="00A901E7">
        <w:rPr>
          <w:szCs w:val="21"/>
        </w:rPr>
        <w:lastRenderedPageBreak/>
        <w:t>skrár</w:t>
      </w:r>
      <w:r w:rsidRPr="00A901E7">
        <w:rPr>
          <w:szCs w:val="21"/>
        </w:rPr>
        <w:softHyphen/>
        <w:t>innar</w:t>
      </w:r>
      <w:proofErr w:type="spellEnd"/>
      <w:r w:rsidRPr="00A901E7">
        <w:rPr>
          <w:szCs w:val="21"/>
        </w:rPr>
        <w:t xml:space="preserve"> að afla ber samþykkis Alþingis áður en ákvörðun er staðfest. Slíkt samþykki getur Alþingi alltaf veitt samhliða viðeigandi lagabreytingu, en einnig hefur tíðkast að heimila stjórn</w:t>
      </w:r>
      <w:r>
        <w:rPr>
          <w:szCs w:val="21"/>
        </w:rPr>
        <w:softHyphen/>
      </w:r>
      <w:r w:rsidRPr="00A901E7">
        <w:rPr>
          <w:szCs w:val="21"/>
        </w:rPr>
        <w:t xml:space="preserve">völdum að skuldbinda sig að þjóðarétti með þingsályktun áður en landsréttinum er með lögum breytt til samræmis við viðkomandi ákvörðun. </w:t>
      </w:r>
    </w:p>
    <w:p w14:paraId="3F81E721" w14:textId="77777777" w:rsidR="00B440E6" w:rsidRPr="00A901E7" w:rsidRDefault="00B440E6" w:rsidP="00B440E6">
      <w:pPr>
        <w:rPr>
          <w:szCs w:val="21"/>
        </w:rPr>
      </w:pPr>
      <w:r w:rsidRPr="00A901E7">
        <w:rPr>
          <w:szCs w:val="21"/>
        </w:rPr>
        <w:t>Áðurnefnd 21. gr. stjórnarskrárinnar tekur til gerðar þjóðréttarsamninga en hún á augljóslega einnig við um þau tilvik þegar breytingar eru gerðar á slíkum samningum. Samkvæmt ákvæðinu er samþykki Alþingis áskilið ef samningur felur í sér afsal eða kvaðir á landi eða landhelgi eða ef hann horfir til breytinga á stjórnarhögum ríkisins. Síðarnefnda atriðið hefur verið túlkað svo að samþykki Alþingis sé áskilið ef gerð þjóðréttarsamnings kalla</w:t>
      </w:r>
      <w:r>
        <w:rPr>
          <w:szCs w:val="21"/>
        </w:rPr>
        <w:t>r á lagabreytingar hér á landi.</w:t>
      </w:r>
    </w:p>
    <w:p w14:paraId="758CC177" w14:textId="77777777" w:rsidR="00B440E6" w:rsidRPr="00A901E7" w:rsidRDefault="00B440E6" w:rsidP="00B440E6">
      <w:pPr>
        <w:rPr>
          <w:szCs w:val="21"/>
        </w:rPr>
      </w:pPr>
      <w:r w:rsidRPr="00A901E7">
        <w:rPr>
          <w:szCs w:val="21"/>
        </w:rPr>
        <w:t>Umrædd ákvörðun sameiginlegu EES-nefndarinnar felur í sér breytingu á EES-samningnum en þar sem hún kallar á lagabreytingar hér á landi var hún tekin með stjórnskipulegum fyrirvara. Í samræmi við það sem að framan segir er óskað eftir samþykki Alþings fyrir þeirri breytingu á EES-samningnum sem í ákvörðuninni felst.</w:t>
      </w:r>
    </w:p>
    <w:p w14:paraId="33E6E253" w14:textId="77777777" w:rsidR="00B440E6" w:rsidRPr="00A901E7" w:rsidRDefault="00B440E6" w:rsidP="00B440E6">
      <w:pPr>
        <w:pStyle w:val="ListParagraph"/>
        <w:ind w:left="425" w:firstLine="0"/>
        <w:rPr>
          <w:b/>
        </w:rPr>
      </w:pPr>
    </w:p>
    <w:p w14:paraId="3B8559CD" w14:textId="466EB347" w:rsidR="00B440E6" w:rsidRPr="00B440E6" w:rsidRDefault="00B440E6" w:rsidP="00B440E6">
      <w:pPr>
        <w:pStyle w:val="Millifyrirsgn1"/>
        <w:rPr>
          <w:rFonts w:eastAsiaTheme="minorHAnsi"/>
          <w:iCs/>
          <w:color w:val="000000"/>
          <w:sz w:val="22"/>
        </w:rPr>
      </w:pPr>
      <w:r w:rsidRPr="00B440E6">
        <w:t xml:space="preserve">3. </w:t>
      </w:r>
      <w:r w:rsidRPr="00B440E6">
        <w:rPr>
          <w:rFonts w:eastAsiaTheme="minorHAnsi"/>
          <w:color w:val="000000" w:themeColor="text1"/>
          <w:szCs w:val="21"/>
        </w:rPr>
        <w:t xml:space="preserve">Tilskipun Evrópuþingsins og ráðsins 2013/55/ESB frá 20. nóvember 2013 um breytingu á tilskipun 2005/36/EB um viðurkenningu á faglegri menntun og hæfi og á reglugerð (ESB) nr. 1024/2012 um samvinnu á sviði stjórnsýslu fyrir tilstilli upplýsingakerfisins fyrir innri markaðinn („reglugerðin um </w:t>
      </w:r>
      <w:proofErr w:type="spellStart"/>
      <w:r w:rsidRPr="00B440E6">
        <w:rPr>
          <w:rFonts w:eastAsiaTheme="minorHAnsi"/>
          <w:color w:val="000000" w:themeColor="text1"/>
          <w:szCs w:val="21"/>
        </w:rPr>
        <w:t>IM-upplýsingakerfið</w:t>
      </w:r>
      <w:proofErr w:type="spellEnd"/>
      <w:r w:rsidRPr="00B440E6">
        <w:rPr>
          <w:rFonts w:eastAsiaTheme="minorHAnsi"/>
          <w:color w:val="000000" w:themeColor="text1"/>
          <w:szCs w:val="21"/>
        </w:rPr>
        <w:t>“)</w:t>
      </w:r>
      <w:r w:rsidR="005D6ABC">
        <w:rPr>
          <w:rFonts w:eastAsiaTheme="minorHAnsi"/>
          <w:color w:val="000000" w:themeColor="text1"/>
          <w:szCs w:val="21"/>
        </w:rPr>
        <w:t>.</w:t>
      </w:r>
    </w:p>
    <w:p w14:paraId="077C542D" w14:textId="2E64BE5F" w:rsidR="002156E0" w:rsidRDefault="002156E0" w:rsidP="00E86DD6">
      <w:r>
        <w:t>Með tilskipun Evrópuþingsins og ráðsins 2013/55/E</w:t>
      </w:r>
      <w:r w:rsidR="00644529">
        <w:t>S</w:t>
      </w:r>
      <w:r>
        <w:t xml:space="preserve">B frá 20. nóvember 2013 er mælt fyrir um breytingar á tilskipun 2005/36/EB um viðurkenningu á faglegri menntun og hæfi. Helstu </w:t>
      </w:r>
      <w:proofErr w:type="spellStart"/>
      <w:r w:rsidR="00E835FE">
        <w:t>nýmæli</w:t>
      </w:r>
      <w:proofErr w:type="spellEnd"/>
      <w:r w:rsidR="00E835FE">
        <w:t xml:space="preserve"> og breytingar sem tilskipunin mælir fyrir um eru eftirfarandi: </w:t>
      </w:r>
    </w:p>
    <w:p w14:paraId="47B603FC" w14:textId="77777777" w:rsidR="00E835FE" w:rsidRDefault="00E835FE" w:rsidP="002156E0">
      <w:pPr>
        <w:ind w:firstLine="0"/>
        <w:rPr>
          <w:i/>
        </w:rPr>
      </w:pPr>
    </w:p>
    <w:p w14:paraId="2CC3B8E2" w14:textId="2622CA0D" w:rsidR="002156E0" w:rsidRPr="002156E0" w:rsidRDefault="002156E0" w:rsidP="002156E0">
      <w:pPr>
        <w:ind w:firstLine="0"/>
        <w:rPr>
          <w:i/>
        </w:rPr>
      </w:pPr>
      <w:r>
        <w:rPr>
          <w:i/>
        </w:rPr>
        <w:t>Evrópskt fagskírteini</w:t>
      </w:r>
      <w:r w:rsidR="00644529">
        <w:rPr>
          <w:i/>
        </w:rPr>
        <w:t>.</w:t>
      </w:r>
    </w:p>
    <w:p w14:paraId="6B9883E0" w14:textId="2F28987E" w:rsidR="002156E0" w:rsidRDefault="002156E0" w:rsidP="00E86DD6">
      <w:r>
        <w:t>Með tilskipunin</w:t>
      </w:r>
      <w:r w:rsidR="00644529">
        <w:t>ni</w:t>
      </w:r>
      <w:r>
        <w:t xml:space="preserve"> er tekið upp svokallað „evrópskt fagskírteini“ (e. </w:t>
      </w:r>
      <w:proofErr w:type="spellStart"/>
      <w:r>
        <w:t>European</w:t>
      </w:r>
      <w:proofErr w:type="spellEnd"/>
      <w:r>
        <w:t xml:space="preserve"> Professional </w:t>
      </w:r>
      <w:proofErr w:type="spellStart"/>
      <w:r>
        <w:t>Card</w:t>
      </w:r>
      <w:proofErr w:type="spellEnd"/>
      <w:r>
        <w:t xml:space="preserve">). Evrópska fagskírteininu </w:t>
      </w:r>
      <w:r w:rsidR="006942FD">
        <w:t xml:space="preserve">er </w:t>
      </w:r>
      <w:r>
        <w:t>ætlað</w:t>
      </w:r>
      <w:r w:rsidR="006942FD">
        <w:t xml:space="preserve"> að</w:t>
      </w:r>
      <w:r>
        <w:t xml:space="preserve"> </w:t>
      </w:r>
      <w:proofErr w:type="spellStart"/>
      <w:r>
        <w:t>ýta</w:t>
      </w:r>
      <w:proofErr w:type="spellEnd"/>
      <w:r>
        <w:t xml:space="preserve"> undir frjálsa för fagfólks og tryggja skilvirkari og gagnsærri viðurkenningu </w:t>
      </w:r>
      <w:r w:rsidR="006E0F43">
        <w:t>á faglegri menntun og hæfi. Með evrópska fagskírteininu geta um</w:t>
      </w:r>
      <w:r w:rsidR="0032621C">
        <w:softHyphen/>
      </w:r>
      <w:r w:rsidR="006E0F43">
        <w:t xml:space="preserve">sækjendur sótt um viðurkenningu á faglegri menntun og hæfi </w:t>
      </w:r>
      <w:r w:rsidR="00E835FE">
        <w:t>með rafrænum hætti</w:t>
      </w:r>
      <w:r w:rsidR="0029141E">
        <w:t xml:space="preserve"> fyrir þær starfsgreinar sem falla undir </w:t>
      </w:r>
      <w:r w:rsidR="00B107AD">
        <w:t>e</w:t>
      </w:r>
      <w:r w:rsidR="0029141E">
        <w:t>vrópska fagskírteinið.</w:t>
      </w:r>
      <w:r w:rsidR="00E835FE">
        <w:t xml:space="preserve"> </w:t>
      </w:r>
    </w:p>
    <w:p w14:paraId="5508170B" w14:textId="77777777" w:rsidR="002156E0" w:rsidRDefault="002156E0" w:rsidP="002156E0">
      <w:pPr>
        <w:ind w:firstLine="0"/>
      </w:pPr>
    </w:p>
    <w:p w14:paraId="3268E5C7" w14:textId="3D778D81" w:rsidR="002156E0" w:rsidRPr="006E0F43" w:rsidRDefault="002B2503" w:rsidP="002156E0">
      <w:pPr>
        <w:ind w:firstLine="0"/>
        <w:rPr>
          <w:i/>
        </w:rPr>
      </w:pPr>
      <w:r>
        <w:rPr>
          <w:i/>
        </w:rPr>
        <w:t>Takmarka</w:t>
      </w:r>
      <w:r w:rsidR="006E0F43" w:rsidRPr="006E0F43">
        <w:rPr>
          <w:i/>
        </w:rPr>
        <w:t>ð</w:t>
      </w:r>
      <w:r>
        <w:rPr>
          <w:i/>
        </w:rPr>
        <w:t>ur</w:t>
      </w:r>
      <w:r w:rsidR="006E0F43" w:rsidRPr="006E0F43">
        <w:rPr>
          <w:i/>
        </w:rPr>
        <w:t xml:space="preserve"> </w:t>
      </w:r>
      <w:r w:rsidR="00E835FE">
        <w:rPr>
          <w:i/>
        </w:rPr>
        <w:t>aðgangur að starfsgrein</w:t>
      </w:r>
      <w:r w:rsidR="00644529">
        <w:rPr>
          <w:i/>
        </w:rPr>
        <w:t>.</w:t>
      </w:r>
    </w:p>
    <w:p w14:paraId="7D43C287" w14:textId="027A8F3D" w:rsidR="00E835FE" w:rsidRDefault="00E835FE" w:rsidP="00E86DD6">
      <w:r>
        <w:t xml:space="preserve">Samkvæmt tilskipuninni skal heimilt að veita takmarkaðan aðgang að starfsgrein (e. partial </w:t>
      </w:r>
      <w:proofErr w:type="spellStart"/>
      <w:r>
        <w:t>access</w:t>
      </w:r>
      <w:proofErr w:type="spellEnd"/>
      <w:r>
        <w:t>)</w:t>
      </w:r>
      <w:r w:rsidR="002B2503">
        <w:t xml:space="preserve">. Slíkt á </w:t>
      </w:r>
      <w:r w:rsidR="0029141E">
        <w:t xml:space="preserve">við </w:t>
      </w:r>
      <w:r w:rsidR="002B2503">
        <w:t xml:space="preserve">ef </w:t>
      </w:r>
      <w:r>
        <w:t xml:space="preserve">svo mikill munur </w:t>
      </w:r>
      <w:r w:rsidR="002B2503">
        <w:t xml:space="preserve">er </w:t>
      </w:r>
      <w:r>
        <w:t xml:space="preserve">á </w:t>
      </w:r>
      <w:r w:rsidR="002B2503">
        <w:t>þeim kröfum sem gerðar eru til viðkomandi starfs</w:t>
      </w:r>
      <w:r w:rsidR="0032621C">
        <w:softHyphen/>
      </w:r>
      <w:r w:rsidR="002B2503">
        <w:t>greinar í heimaríki viðkomandi og væntanleg</w:t>
      </w:r>
      <w:r w:rsidR="00C52742">
        <w:t>u</w:t>
      </w:r>
      <w:r w:rsidR="002B2503">
        <w:t xml:space="preserve"> gistiríki að kröfur í því síðarnefnda jafngiltu því að </w:t>
      </w:r>
      <w:r>
        <w:t xml:space="preserve">umsækjandinn þyrfti að ljúka fullu námi og þjálfun í </w:t>
      </w:r>
      <w:r w:rsidR="002B2503">
        <w:t xml:space="preserve">gistiríkinu </w:t>
      </w:r>
      <w:r>
        <w:t xml:space="preserve">til að fá fullan aðgang að </w:t>
      </w:r>
      <w:r w:rsidR="002B2503">
        <w:t xml:space="preserve">viðkomandi starfsgrein í því ríki. </w:t>
      </w:r>
    </w:p>
    <w:p w14:paraId="2B8AC0F0" w14:textId="77777777" w:rsidR="00E835FE" w:rsidRDefault="00E835FE" w:rsidP="002156E0">
      <w:pPr>
        <w:ind w:firstLine="0"/>
      </w:pPr>
    </w:p>
    <w:p w14:paraId="05186F76" w14:textId="2BDA2824" w:rsidR="00E835FE" w:rsidRPr="00E835FE" w:rsidRDefault="00E835FE" w:rsidP="002156E0">
      <w:pPr>
        <w:ind w:firstLine="0"/>
        <w:rPr>
          <w:i/>
        </w:rPr>
      </w:pPr>
      <w:r>
        <w:rPr>
          <w:i/>
        </w:rPr>
        <w:t>Upplýsinga- og þjónustumiðstöð</w:t>
      </w:r>
      <w:r w:rsidR="00B107AD">
        <w:rPr>
          <w:i/>
        </w:rPr>
        <w:t>.</w:t>
      </w:r>
    </w:p>
    <w:p w14:paraId="1578C528" w14:textId="436EE779" w:rsidR="00E835FE" w:rsidRDefault="00E835FE" w:rsidP="00E86DD6">
      <w:r>
        <w:t>Tilskipunin mælir fyrir um að aðildarríki skuli nýta upplýsinga- og þjónustumiðstöðvar (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, PSC) sem komið var á fót í samræmi við kröfu</w:t>
      </w:r>
      <w:r w:rsidR="0029141E">
        <w:t>r</w:t>
      </w:r>
      <w:r>
        <w:t xml:space="preserve"> þjónustutilskipunar Evrópusambandsins (tilskipun 2006/123/EB) til þess að auðvelda viðurkenningu á faglegri menntu</w:t>
      </w:r>
      <w:r w:rsidR="0029141E">
        <w:t>n og hæfi. Í þeim tilgangi skulu</w:t>
      </w:r>
      <w:r>
        <w:t xml:space="preserve"> upplýsinga- og þjónustumiðstöðvarnar m.a. hafa að</w:t>
      </w:r>
      <w:r w:rsidR="0032621C">
        <w:softHyphen/>
      </w:r>
      <w:r>
        <w:t>gengilegar upplýsingar um efni</w:t>
      </w:r>
      <w:r w:rsidR="00B107AD">
        <w:t>ð</w:t>
      </w:r>
      <w:r>
        <w:t xml:space="preserve">, þ.m.t. skrá yfir allar lögverndaðar starfsgreinar í viðkomandi aðildarríki. </w:t>
      </w:r>
    </w:p>
    <w:p w14:paraId="5530475A" w14:textId="77777777" w:rsidR="00E835FE" w:rsidRDefault="00E835FE" w:rsidP="002156E0">
      <w:pPr>
        <w:ind w:firstLine="0"/>
      </w:pPr>
    </w:p>
    <w:p w14:paraId="382E2DE6" w14:textId="222637CC" w:rsidR="002156E0" w:rsidRPr="002B2503" w:rsidRDefault="002B2503" w:rsidP="002156E0">
      <w:pPr>
        <w:ind w:firstLine="0"/>
        <w:rPr>
          <w:i/>
        </w:rPr>
      </w:pPr>
      <w:r w:rsidRPr="002B2503">
        <w:rPr>
          <w:i/>
        </w:rPr>
        <w:t>Sameiginlegar menntunarkröfur og sameiginlegt lokapróf</w:t>
      </w:r>
      <w:r w:rsidR="00B107AD">
        <w:rPr>
          <w:i/>
        </w:rPr>
        <w:t>.</w:t>
      </w:r>
    </w:p>
    <w:p w14:paraId="5EA3A11A" w14:textId="5A5174F7" w:rsidR="002B2503" w:rsidRDefault="002B2503" w:rsidP="00E86DD6">
      <w:r>
        <w:t xml:space="preserve">Heimilt verður taka upp sameiginlegar menntunarkröfur eða sameiginlegt lokapróf fyrir starfsgreinar </w:t>
      </w:r>
      <w:r w:rsidR="00B107AD">
        <w:t xml:space="preserve">þar </w:t>
      </w:r>
      <w:r>
        <w:t xml:space="preserve">sem þess </w:t>
      </w:r>
      <w:r w:rsidR="00B107AD">
        <w:t xml:space="preserve">er </w:t>
      </w:r>
      <w:r>
        <w:t>óska</w:t>
      </w:r>
      <w:r w:rsidR="00B107AD">
        <w:t>ð</w:t>
      </w:r>
      <w:r>
        <w:t xml:space="preserve"> og koma þannig á sjálfkrafa v</w:t>
      </w:r>
      <w:r w:rsidR="00C26C45">
        <w:t>iðurkenningu fyrir þær greinar.</w:t>
      </w:r>
    </w:p>
    <w:p w14:paraId="29619CBC" w14:textId="0201131B" w:rsidR="002B2503" w:rsidRPr="00C26C45" w:rsidRDefault="00C26C45" w:rsidP="002156E0">
      <w:pPr>
        <w:ind w:firstLine="0"/>
        <w:rPr>
          <w:i/>
        </w:rPr>
      </w:pPr>
      <w:r>
        <w:rPr>
          <w:i/>
        </w:rPr>
        <w:lastRenderedPageBreak/>
        <w:t xml:space="preserve">Starfsnám í öðru </w:t>
      </w:r>
      <w:proofErr w:type="spellStart"/>
      <w:r>
        <w:rPr>
          <w:i/>
        </w:rPr>
        <w:t>EES-ríki</w:t>
      </w:r>
      <w:proofErr w:type="spellEnd"/>
      <w:r w:rsidR="00B107AD">
        <w:rPr>
          <w:i/>
        </w:rPr>
        <w:t>.</w:t>
      </w:r>
    </w:p>
    <w:p w14:paraId="20C69E6F" w14:textId="4B362F79" w:rsidR="002156E0" w:rsidRDefault="00C26C45" w:rsidP="00E86DD6">
      <w:r>
        <w:t xml:space="preserve">Nemendur í starfsnámi skulu eiga þess kost að fá viðurkennt starfsnám eða starfsreynslutíma innan löggiltra starfsgreina sem fer fram í öðru </w:t>
      </w:r>
      <w:proofErr w:type="spellStart"/>
      <w:r>
        <w:t>EES-ríki</w:t>
      </w:r>
      <w:proofErr w:type="spellEnd"/>
      <w:r>
        <w:t xml:space="preserve"> </w:t>
      </w:r>
      <w:r w:rsidR="007F4894">
        <w:t xml:space="preserve">en </w:t>
      </w:r>
      <w:r>
        <w:t>í heimalandinu</w:t>
      </w:r>
      <w:r w:rsidR="00BB5E32">
        <w:t>.</w:t>
      </w:r>
    </w:p>
    <w:p w14:paraId="7EB8BC65" w14:textId="77777777" w:rsidR="00C26C45" w:rsidRDefault="00C26C45" w:rsidP="00C26C45">
      <w:pPr>
        <w:ind w:firstLine="0"/>
      </w:pPr>
    </w:p>
    <w:p w14:paraId="1020781D" w14:textId="78C8032E" w:rsidR="00C26C45" w:rsidRPr="004615F4" w:rsidRDefault="004615F4" w:rsidP="00C26C45">
      <w:pPr>
        <w:ind w:firstLine="0"/>
        <w:rPr>
          <w:i/>
        </w:rPr>
      </w:pPr>
      <w:r w:rsidRPr="004615F4">
        <w:rPr>
          <w:i/>
        </w:rPr>
        <w:t>Athugun á núgildandi fyrirkomulag</w:t>
      </w:r>
      <w:r w:rsidR="00BB5E32">
        <w:rPr>
          <w:i/>
        </w:rPr>
        <w:t>i</w:t>
      </w:r>
      <w:r w:rsidRPr="004615F4">
        <w:rPr>
          <w:i/>
        </w:rPr>
        <w:t xml:space="preserve"> </w:t>
      </w:r>
      <w:proofErr w:type="spellStart"/>
      <w:r w:rsidRPr="004615F4">
        <w:rPr>
          <w:i/>
        </w:rPr>
        <w:t>lögverndunar</w:t>
      </w:r>
      <w:proofErr w:type="spellEnd"/>
      <w:r w:rsidRPr="004615F4">
        <w:rPr>
          <w:i/>
        </w:rPr>
        <w:t xml:space="preserve"> starfsgreina</w:t>
      </w:r>
      <w:r w:rsidR="00B107AD">
        <w:rPr>
          <w:i/>
        </w:rPr>
        <w:t>.</w:t>
      </w:r>
    </w:p>
    <w:p w14:paraId="48ACA91B" w14:textId="3107C98F" w:rsidR="008B5A49" w:rsidRDefault="00863636" w:rsidP="00E86DD6">
      <w:r>
        <w:t xml:space="preserve">Tilskipunin </w:t>
      </w:r>
      <w:r w:rsidR="004615F4">
        <w:t>mælir enn</w:t>
      </w:r>
      <w:r w:rsidR="00B107AD">
        <w:t xml:space="preserve"> </w:t>
      </w:r>
      <w:r w:rsidR="004615F4">
        <w:t xml:space="preserve">fremur fyrir um að </w:t>
      </w:r>
      <w:proofErr w:type="spellStart"/>
      <w:r w:rsidR="004615F4">
        <w:t>rýna</w:t>
      </w:r>
      <w:proofErr w:type="spellEnd"/>
      <w:r w:rsidR="004615F4">
        <w:t xml:space="preserve"> beri frekar núgildandi fyrirkomulag </w:t>
      </w:r>
      <w:proofErr w:type="spellStart"/>
      <w:r w:rsidR="004615F4">
        <w:t>lög</w:t>
      </w:r>
      <w:r w:rsidR="0032621C">
        <w:softHyphen/>
      </w:r>
      <w:r w:rsidR="004615F4">
        <w:t>verndunar</w:t>
      </w:r>
      <w:proofErr w:type="spellEnd"/>
      <w:r w:rsidR="004615F4">
        <w:t xml:space="preserve"> starfsgreina, </w:t>
      </w:r>
      <w:r w:rsidR="00B107AD">
        <w:t>einkum til</w:t>
      </w:r>
      <w:r w:rsidR="004615F4">
        <w:t xml:space="preserve"> að tryggja að núgildandi kröfur feli ekki í sér beina eða óbeina mismunun á grundvelli ríkisfangs eða búsetu, að þær séu </w:t>
      </w:r>
      <w:r w:rsidR="007F4894">
        <w:t>settar á grundvell</w:t>
      </w:r>
      <w:r w:rsidR="004615F4">
        <w:t xml:space="preserve">i </w:t>
      </w:r>
      <w:proofErr w:type="spellStart"/>
      <w:r w:rsidR="004615F4">
        <w:t>brýnna</w:t>
      </w:r>
      <w:proofErr w:type="spellEnd"/>
      <w:r w:rsidR="004615F4">
        <w:t xml:space="preserve"> almannah</w:t>
      </w:r>
      <w:r w:rsidR="00B107AD">
        <w:t>a</w:t>
      </w:r>
      <w:r w:rsidR="004615F4">
        <w:t xml:space="preserve">gsmuna og að kröfur um </w:t>
      </w:r>
      <w:proofErr w:type="spellStart"/>
      <w:r w:rsidR="004615F4">
        <w:t>lögverndun</w:t>
      </w:r>
      <w:proofErr w:type="spellEnd"/>
      <w:r w:rsidR="004615F4">
        <w:t xml:space="preserve"> starfs</w:t>
      </w:r>
      <w:r w:rsidR="00C52742">
        <w:t>réttinda</w:t>
      </w:r>
      <w:r w:rsidR="004615F4">
        <w:t xml:space="preserve"> séu til þess fallnar að </w:t>
      </w:r>
      <w:r w:rsidR="00B107AD">
        <w:t>n</w:t>
      </w:r>
      <w:r w:rsidR="004615F4">
        <w:t>á þeim markmiðum</w:t>
      </w:r>
      <w:r w:rsidR="007F4894">
        <w:t xml:space="preserve"> </w:t>
      </w:r>
      <w:r w:rsidR="004615F4">
        <w:t xml:space="preserve">sem stefnt er að og gangi ekki lengra en nauðsynlegt </w:t>
      </w:r>
      <w:r w:rsidR="00453269">
        <w:t>er</w:t>
      </w:r>
      <w:r w:rsidR="004615F4">
        <w:t xml:space="preserve"> að til að ná þeim mark</w:t>
      </w:r>
      <w:r w:rsidR="0032621C">
        <w:softHyphen/>
      </w:r>
      <w:r w:rsidR="004615F4">
        <w:t xml:space="preserve">miðum. </w:t>
      </w:r>
    </w:p>
    <w:p w14:paraId="22E04FF8" w14:textId="77777777" w:rsidR="004615F4" w:rsidRDefault="004615F4" w:rsidP="00E86DD6"/>
    <w:p w14:paraId="1268AACC" w14:textId="30D6AE13" w:rsidR="008B5A49" w:rsidRDefault="008B5A49" w:rsidP="00E86DD6">
      <w:r>
        <w:t>Tilskipun 2005/36/EB var tekin upp á Íslandi með lögum nr. 26/2010</w:t>
      </w:r>
      <w:r w:rsidR="00453269">
        <w:t>,</w:t>
      </w:r>
      <w:r>
        <w:t xml:space="preserve"> um viðurkenningu á faglegri menntun og hæfi til starfa hér á landi, reglugerð nr. 879/2010 um viðurkenningu á fag</w:t>
      </w:r>
      <w:r w:rsidR="0032621C">
        <w:softHyphen/>
      </w:r>
      <w:r>
        <w:t>legri menntun og hæfi til starfa hér á landi, reglugerð nr. 461/2011 um viðurkenningu á faglegri menntun og hæfi heilbrig</w:t>
      </w:r>
      <w:r w:rsidR="006E0F43">
        <w:t xml:space="preserve">ðisstarfsmanna frá öðrum </w:t>
      </w:r>
      <w:proofErr w:type="spellStart"/>
      <w:r w:rsidR="006E0F43">
        <w:t>EES-ríkj</w:t>
      </w:r>
      <w:r>
        <w:t>um</w:t>
      </w:r>
      <w:proofErr w:type="spellEnd"/>
      <w:r>
        <w:t xml:space="preserve"> og reglugerð nr. 585/2011 um viðurkenningu á menntun og starfsreynslu til starfa í löggiltri iðn hér á landi.</w:t>
      </w:r>
    </w:p>
    <w:p w14:paraId="77DC9F3C" w14:textId="3E2A06EA" w:rsidR="008B5A49" w:rsidRDefault="008B5A49" w:rsidP="00E86DD6">
      <w:r>
        <w:t>Með tilskipun 2013/55/E</w:t>
      </w:r>
      <w:r w:rsidR="00453269">
        <w:t>S</w:t>
      </w:r>
      <w:r>
        <w:t xml:space="preserve">B verða ekki grundvallarbreytingar á tilhögun viðurkenningar á faglegri menntun og hæfi á Evrópska efnahagssvæðinu. Réttur manna til viðurkenningar er hinn sami og áður, en tekin eru skref til að tryggja að framkvæmdin verði enn einfaldari og </w:t>
      </w:r>
      <w:proofErr w:type="spellStart"/>
      <w:r>
        <w:t>skjót</w:t>
      </w:r>
      <w:r w:rsidR="0032621C">
        <w:softHyphen/>
      </w:r>
      <w:r>
        <w:t>virkari</w:t>
      </w:r>
      <w:proofErr w:type="spellEnd"/>
      <w:r>
        <w:t>, m.a. með innleiðingu evrópsks fagskírteinis fyrir einstaka</w:t>
      </w:r>
      <w:r w:rsidR="00453269">
        <w:t>r</w:t>
      </w:r>
      <w:r>
        <w:t xml:space="preserve"> starfsgreinar þar sem afgreiðslufrestir eru styttir.</w:t>
      </w:r>
    </w:p>
    <w:p w14:paraId="55038731" w14:textId="77777777" w:rsidR="00B440E6" w:rsidRDefault="00B440E6" w:rsidP="00B440E6"/>
    <w:p w14:paraId="03663D2B" w14:textId="77777777" w:rsidR="00B440E6" w:rsidRDefault="00B440E6" w:rsidP="00B440E6">
      <w:pPr>
        <w:pStyle w:val="Millifyrirsgn1"/>
      </w:pPr>
      <w:r>
        <w:t xml:space="preserve">4. </w:t>
      </w:r>
      <w:r w:rsidRPr="00A901E7">
        <w:t>Lagabreytingar og hugsanleg áhrif hér á landi.</w:t>
      </w:r>
    </w:p>
    <w:p w14:paraId="722822DF" w14:textId="38599957" w:rsidR="008B5A49" w:rsidRDefault="008B5A49" w:rsidP="00E86DD6">
      <w:pPr>
        <w:rPr>
          <w:szCs w:val="21"/>
        </w:rPr>
      </w:pPr>
      <w:r w:rsidRPr="006E6961">
        <w:t>Innleiðing tilskipunar 2013/55/E</w:t>
      </w:r>
      <w:r w:rsidR="00453269">
        <w:t>S</w:t>
      </w:r>
      <w:r w:rsidRPr="006E6961">
        <w:t>B kallar á breytingar á lögum nr. 26/2010</w:t>
      </w:r>
      <w:r w:rsidR="00453269">
        <w:t>,</w:t>
      </w:r>
      <w:r w:rsidRPr="006E6961">
        <w:t xml:space="preserve"> um viður</w:t>
      </w:r>
      <w:r w:rsidR="004B037E">
        <w:softHyphen/>
      </w:r>
      <w:r w:rsidRPr="006E6961">
        <w:t>kenningu á faglegri menntun</w:t>
      </w:r>
      <w:r w:rsidR="007F4894" w:rsidRPr="006E6961">
        <w:t xml:space="preserve"> </w:t>
      </w:r>
      <w:r w:rsidRPr="006E6961">
        <w:t xml:space="preserve">og hæfi til starfa hér á landi. </w:t>
      </w:r>
      <w:r w:rsidR="00E835FE" w:rsidRPr="006E6961">
        <w:t>M</w:t>
      </w:r>
      <w:r w:rsidRPr="006E6961">
        <w:t>ennta- og m</w:t>
      </w:r>
      <w:r w:rsidR="007F4894" w:rsidRPr="006E6961">
        <w:t>enningarmálaráðherra mun</w:t>
      </w:r>
      <w:r w:rsidRPr="006E6961">
        <w:t xml:space="preserve"> leggja fram frumvarp til laga um breytingu á lögunum á yfirstandandi</w:t>
      </w:r>
      <w:r w:rsidRPr="00E835FE">
        <w:rPr>
          <w:szCs w:val="21"/>
        </w:rPr>
        <w:t xml:space="preserve"> löggjafarþingi.</w:t>
      </w:r>
    </w:p>
    <w:p w14:paraId="08CEBC3A" w14:textId="77777777" w:rsidR="008B5A49" w:rsidRDefault="008B5A49" w:rsidP="00B440E6">
      <w:pPr>
        <w:rPr>
          <w:szCs w:val="21"/>
        </w:rPr>
      </w:pPr>
    </w:p>
    <w:p w14:paraId="7E17B03E" w14:textId="77777777" w:rsidR="00B440E6" w:rsidRPr="00B41F0D" w:rsidRDefault="00B440E6" w:rsidP="00B440E6">
      <w:pPr>
        <w:rPr>
          <w:szCs w:val="21"/>
        </w:rPr>
      </w:pPr>
    </w:p>
    <w:p w14:paraId="6DD13D0C" w14:textId="77777777" w:rsidR="00B440E6" w:rsidRDefault="00B440E6" w:rsidP="00B440E6">
      <w:pPr>
        <w:ind w:firstLine="0"/>
        <w:rPr>
          <w:b/>
          <w:szCs w:val="21"/>
          <w:u w:val="single"/>
        </w:rPr>
      </w:pPr>
    </w:p>
    <w:p w14:paraId="0F1FDF63" w14:textId="77777777" w:rsidR="00B440E6" w:rsidRPr="00B41F0D" w:rsidRDefault="00B440E6" w:rsidP="00B440E6">
      <w:pPr>
        <w:ind w:firstLine="0"/>
        <w:rPr>
          <w:b/>
          <w:szCs w:val="21"/>
          <w:u w:val="single"/>
        </w:rPr>
      </w:pPr>
      <w:r w:rsidRPr="00B41F0D">
        <w:rPr>
          <w:b/>
          <w:szCs w:val="21"/>
          <w:u w:val="single"/>
        </w:rPr>
        <w:t>Fylgiskjal I.</w:t>
      </w:r>
    </w:p>
    <w:p w14:paraId="54C98D57" w14:textId="77777777" w:rsidR="00B440E6" w:rsidRPr="00B41F0D" w:rsidRDefault="00B440E6" w:rsidP="00B440E6">
      <w:pPr>
        <w:rPr>
          <w:b/>
          <w:szCs w:val="21"/>
          <w:u w:val="single"/>
        </w:rPr>
      </w:pPr>
    </w:p>
    <w:p w14:paraId="53401B2B" w14:textId="2775D364" w:rsidR="00B440E6" w:rsidRPr="00B41F0D" w:rsidRDefault="00B440E6" w:rsidP="00237DCE">
      <w:pPr>
        <w:jc w:val="center"/>
        <w:rPr>
          <w:b/>
          <w:szCs w:val="21"/>
        </w:rPr>
      </w:pPr>
      <w:r w:rsidRPr="00B41F0D">
        <w:rPr>
          <w:b/>
          <w:szCs w:val="21"/>
        </w:rPr>
        <w:t>Ákvörðun sameiginlegu</w:t>
      </w:r>
      <w:r>
        <w:rPr>
          <w:b/>
          <w:szCs w:val="21"/>
        </w:rPr>
        <w:t xml:space="preserve"> EES-nefndarinnar nr. 94/2017, frá 5. </w:t>
      </w:r>
      <w:r w:rsidR="008B5A49">
        <w:rPr>
          <w:b/>
          <w:szCs w:val="21"/>
        </w:rPr>
        <w:t>m</w:t>
      </w:r>
      <w:r>
        <w:rPr>
          <w:b/>
          <w:szCs w:val="21"/>
        </w:rPr>
        <w:t>aí 2017</w:t>
      </w:r>
      <w:r w:rsidR="00123D3B">
        <w:rPr>
          <w:b/>
          <w:szCs w:val="21"/>
        </w:rPr>
        <w:t>.</w:t>
      </w:r>
    </w:p>
    <w:p w14:paraId="5D5F3548" w14:textId="77777777" w:rsidR="00B440E6" w:rsidRDefault="00B440E6" w:rsidP="00237DCE">
      <w:pPr>
        <w:jc w:val="center"/>
        <w:rPr>
          <w:szCs w:val="21"/>
        </w:rPr>
      </w:pPr>
    </w:p>
    <w:p w14:paraId="26BEC3A8" w14:textId="08BB06FE" w:rsidR="00123D3B" w:rsidRDefault="00123D3B" w:rsidP="00237DCE">
      <w:pPr>
        <w:jc w:val="center"/>
        <w:rPr>
          <w:szCs w:val="21"/>
        </w:rPr>
      </w:pPr>
      <w:proofErr w:type="spellStart"/>
      <w:r w:rsidRPr="00123D3B">
        <w:rPr>
          <w:szCs w:val="21"/>
        </w:rPr>
        <w:t>www.althingi.is</w:t>
      </w:r>
      <w:proofErr w:type="spellEnd"/>
      <w:r w:rsidRPr="00123D3B">
        <w:rPr>
          <w:szCs w:val="21"/>
        </w:rPr>
        <w:t>/</w:t>
      </w:r>
      <w:proofErr w:type="spellStart"/>
      <w:r w:rsidRPr="00123D3B">
        <w:rPr>
          <w:szCs w:val="21"/>
        </w:rPr>
        <w:t>altext</w:t>
      </w:r>
      <w:proofErr w:type="spellEnd"/>
      <w:r w:rsidRPr="00123D3B">
        <w:rPr>
          <w:szCs w:val="21"/>
        </w:rPr>
        <w:t>/</w:t>
      </w:r>
      <w:proofErr w:type="spellStart"/>
      <w:r w:rsidRPr="00123D3B">
        <w:rPr>
          <w:szCs w:val="21"/>
        </w:rPr>
        <w:t>pdf</w:t>
      </w:r>
      <w:proofErr w:type="spellEnd"/>
      <w:r w:rsidRPr="00123D3B">
        <w:rPr>
          <w:szCs w:val="21"/>
        </w:rPr>
        <w:t>/14</w:t>
      </w:r>
      <w:r w:rsidR="00B12E47">
        <w:rPr>
          <w:szCs w:val="21"/>
        </w:rPr>
        <w:t>8</w:t>
      </w:r>
      <w:r w:rsidRPr="00123D3B">
        <w:rPr>
          <w:szCs w:val="21"/>
        </w:rPr>
        <w:t>/</w:t>
      </w:r>
      <w:proofErr w:type="spellStart"/>
      <w:r w:rsidRPr="00123D3B">
        <w:rPr>
          <w:szCs w:val="21"/>
        </w:rPr>
        <w:t>fylgiskjol</w:t>
      </w:r>
      <w:proofErr w:type="spellEnd"/>
      <w:r w:rsidRPr="00123D3B">
        <w:rPr>
          <w:szCs w:val="21"/>
        </w:rPr>
        <w:t>/</w:t>
      </w:r>
      <w:r w:rsidR="00610E8C" w:rsidRPr="00123D3B">
        <w:rPr>
          <w:szCs w:val="21"/>
        </w:rPr>
        <w:t>s</w:t>
      </w:r>
      <w:r w:rsidR="00610E8C">
        <w:rPr>
          <w:szCs w:val="21"/>
        </w:rPr>
        <w:t>0444</w:t>
      </w:r>
      <w:r w:rsidRPr="00123D3B">
        <w:rPr>
          <w:szCs w:val="21"/>
        </w:rPr>
        <w:t>-f_</w:t>
      </w:r>
      <w:proofErr w:type="spellStart"/>
      <w:r w:rsidRPr="00123D3B">
        <w:rPr>
          <w:szCs w:val="21"/>
        </w:rPr>
        <w:t>I.pdf</w:t>
      </w:r>
      <w:proofErr w:type="spellEnd"/>
    </w:p>
    <w:p w14:paraId="288C043E" w14:textId="77777777" w:rsidR="00B440E6" w:rsidRPr="00B41F0D" w:rsidRDefault="00B440E6" w:rsidP="00B440E6">
      <w:pPr>
        <w:rPr>
          <w:b/>
          <w:szCs w:val="21"/>
          <w:u w:val="single"/>
        </w:rPr>
      </w:pPr>
    </w:p>
    <w:p w14:paraId="1E8B8662" w14:textId="77777777" w:rsidR="00B440E6" w:rsidRDefault="00B440E6" w:rsidP="00B440E6">
      <w:pPr>
        <w:ind w:firstLine="0"/>
        <w:rPr>
          <w:b/>
          <w:szCs w:val="21"/>
          <w:u w:val="single"/>
        </w:rPr>
      </w:pPr>
    </w:p>
    <w:p w14:paraId="69AF187E" w14:textId="77777777" w:rsidR="00B440E6" w:rsidRPr="00B41F0D" w:rsidRDefault="00B440E6" w:rsidP="00B440E6">
      <w:pPr>
        <w:ind w:firstLine="0"/>
        <w:rPr>
          <w:b/>
          <w:szCs w:val="21"/>
          <w:u w:val="single"/>
        </w:rPr>
      </w:pPr>
      <w:r w:rsidRPr="00B41F0D">
        <w:rPr>
          <w:b/>
          <w:szCs w:val="21"/>
          <w:u w:val="single"/>
        </w:rPr>
        <w:t xml:space="preserve">Fylgiskjal II. </w:t>
      </w:r>
    </w:p>
    <w:p w14:paraId="7D4B9121" w14:textId="77777777" w:rsidR="00B440E6" w:rsidRDefault="00B440E6" w:rsidP="00B440E6">
      <w:pPr>
        <w:ind w:firstLine="0"/>
        <w:rPr>
          <w:szCs w:val="21"/>
        </w:rPr>
      </w:pPr>
    </w:p>
    <w:p w14:paraId="570BACC0" w14:textId="7B3D0FA3" w:rsidR="00B440E6" w:rsidRPr="00DD7736" w:rsidRDefault="00DD7736" w:rsidP="00237DCE">
      <w:pPr>
        <w:ind w:firstLine="0"/>
        <w:jc w:val="center"/>
        <w:rPr>
          <w:b/>
          <w:szCs w:val="21"/>
        </w:rPr>
      </w:pPr>
      <w:r w:rsidRPr="00DD7736">
        <w:rPr>
          <w:rFonts w:eastAsiaTheme="minorHAnsi"/>
          <w:b/>
          <w:color w:val="000000" w:themeColor="text1"/>
          <w:szCs w:val="21"/>
        </w:rPr>
        <w:t>Tilskipun Evrópuþingsins og ráðsins 2013/55/ESB frá 20. nóvember 2013 um breytingu á tilskipun 2005/3</w:t>
      </w:r>
      <w:bookmarkStart w:id="0" w:name="_GoBack"/>
      <w:bookmarkEnd w:id="0"/>
      <w:r w:rsidRPr="00DD7736">
        <w:rPr>
          <w:rFonts w:eastAsiaTheme="minorHAnsi"/>
          <w:b/>
          <w:color w:val="000000" w:themeColor="text1"/>
          <w:szCs w:val="21"/>
        </w:rPr>
        <w:t xml:space="preserve">6/EB um viðurkenningu á faglegri menntun og hæfi og á reglugerð (ESB) nr. 1024/2012 um samvinnu á sviði stjórnsýslu fyrir tilstilliupplýsingakerfisins fyrir innri markaðinn („reglugerðin um </w:t>
      </w:r>
      <w:proofErr w:type="spellStart"/>
      <w:r w:rsidRPr="00DD7736">
        <w:rPr>
          <w:rFonts w:eastAsiaTheme="minorHAnsi"/>
          <w:b/>
          <w:color w:val="000000" w:themeColor="text1"/>
          <w:szCs w:val="21"/>
        </w:rPr>
        <w:t>IM-upplýsingakerfið</w:t>
      </w:r>
      <w:proofErr w:type="spellEnd"/>
      <w:r w:rsidRPr="00DD7736">
        <w:rPr>
          <w:rFonts w:eastAsiaTheme="minorHAnsi"/>
          <w:b/>
          <w:color w:val="000000" w:themeColor="text1"/>
          <w:szCs w:val="21"/>
        </w:rPr>
        <w:t>“)</w:t>
      </w:r>
      <w:r w:rsidR="00123D3B">
        <w:rPr>
          <w:rFonts w:eastAsiaTheme="minorHAnsi"/>
          <w:b/>
          <w:color w:val="000000" w:themeColor="text1"/>
          <w:szCs w:val="21"/>
        </w:rPr>
        <w:t>.</w:t>
      </w:r>
    </w:p>
    <w:p w14:paraId="75EF3510" w14:textId="77777777" w:rsidR="00B440E6" w:rsidRDefault="00B440E6" w:rsidP="00237DCE">
      <w:pPr>
        <w:jc w:val="center"/>
      </w:pPr>
    </w:p>
    <w:p w14:paraId="74D3958E" w14:textId="6550351A" w:rsidR="00B440E6" w:rsidRDefault="00123D3B" w:rsidP="00237DCE">
      <w:pPr>
        <w:jc w:val="center"/>
      </w:pPr>
      <w:proofErr w:type="spellStart"/>
      <w:r w:rsidRPr="00123D3B">
        <w:t>www.althingi.is</w:t>
      </w:r>
      <w:proofErr w:type="spellEnd"/>
      <w:r w:rsidRPr="00123D3B">
        <w:t>/</w:t>
      </w:r>
      <w:proofErr w:type="spellStart"/>
      <w:r w:rsidRPr="00123D3B">
        <w:t>altext</w:t>
      </w:r>
      <w:proofErr w:type="spellEnd"/>
      <w:r w:rsidRPr="00123D3B">
        <w:t>/</w:t>
      </w:r>
      <w:proofErr w:type="spellStart"/>
      <w:r w:rsidRPr="00123D3B">
        <w:t>pdf</w:t>
      </w:r>
      <w:proofErr w:type="spellEnd"/>
      <w:r w:rsidRPr="00123D3B">
        <w:t>/14</w:t>
      </w:r>
      <w:r w:rsidR="00B12E47">
        <w:t>8</w:t>
      </w:r>
      <w:r>
        <w:t>/</w:t>
      </w:r>
      <w:proofErr w:type="spellStart"/>
      <w:r>
        <w:t>fylgiskjol</w:t>
      </w:r>
      <w:proofErr w:type="spellEnd"/>
      <w:r>
        <w:t>/s</w:t>
      </w:r>
      <w:r w:rsidR="00610E8C">
        <w:t>0444</w:t>
      </w:r>
      <w:r w:rsidRPr="00123D3B">
        <w:t>-f_</w:t>
      </w:r>
      <w:proofErr w:type="spellStart"/>
      <w:r w:rsidRPr="00123D3B">
        <w:t>I</w:t>
      </w:r>
      <w:r>
        <w:t>I</w:t>
      </w:r>
      <w:r w:rsidRPr="00123D3B">
        <w:t>.pdf</w:t>
      </w:r>
      <w:proofErr w:type="spellEnd"/>
    </w:p>
    <w:p w14:paraId="2D315329" w14:textId="77777777" w:rsidR="00D939C9" w:rsidRDefault="00D939C9" w:rsidP="00BB5E32"/>
    <w:sectPr w:rsidR="00D939C9" w:rsidSect="00487DBC">
      <w:headerReference w:type="default" r:id="rId8"/>
      <w:headerReference w:type="first" r:id="rId9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5244B" w14:textId="77777777" w:rsidR="001D3EC2" w:rsidRDefault="007F4894">
      <w:r>
        <w:separator/>
      </w:r>
    </w:p>
  </w:endnote>
  <w:endnote w:type="continuationSeparator" w:id="0">
    <w:p w14:paraId="6F648185" w14:textId="77777777" w:rsidR="001D3EC2" w:rsidRDefault="007F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543C" w14:textId="77777777" w:rsidR="001D3EC2" w:rsidRDefault="007F4894">
      <w:r>
        <w:separator/>
      </w:r>
    </w:p>
  </w:footnote>
  <w:footnote w:type="continuationSeparator" w:id="0">
    <w:p w14:paraId="0C9E5F89" w14:textId="77777777" w:rsidR="001D3EC2" w:rsidRDefault="007F4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F93E" w14:textId="6323DA1C" w:rsidR="00CF43E2" w:rsidRDefault="007F4894" w:rsidP="00A612D0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7E3936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63E8" w14:textId="413D9891" w:rsidR="00CF43E2" w:rsidRDefault="007F4894" w:rsidP="0039471D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243"/>
    <w:multiLevelType w:val="hybridMultilevel"/>
    <w:tmpl w:val="613EF5A4"/>
    <w:lvl w:ilvl="0" w:tplc="CC30F93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i w:val="0"/>
        <w:color w:val="auto"/>
        <w:sz w:val="21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2">
    <w:nsid w:val="397A3949"/>
    <w:multiLevelType w:val="multilevel"/>
    <w:tmpl w:val="0560B0FA"/>
    <w:numStyleLink w:val="Althingi1-a-1-a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E6"/>
    <w:rsid w:val="00054729"/>
    <w:rsid w:val="00063D10"/>
    <w:rsid w:val="000F0524"/>
    <w:rsid w:val="00123D3B"/>
    <w:rsid w:val="001D3EC2"/>
    <w:rsid w:val="002156E0"/>
    <w:rsid w:val="00237DCE"/>
    <w:rsid w:val="00243A25"/>
    <w:rsid w:val="0029141E"/>
    <w:rsid w:val="002B2503"/>
    <w:rsid w:val="0032621C"/>
    <w:rsid w:val="004518A2"/>
    <w:rsid w:val="00453269"/>
    <w:rsid w:val="004615F4"/>
    <w:rsid w:val="004B037E"/>
    <w:rsid w:val="005D6ABC"/>
    <w:rsid w:val="00610E8C"/>
    <w:rsid w:val="00644529"/>
    <w:rsid w:val="00680435"/>
    <w:rsid w:val="006942FD"/>
    <w:rsid w:val="006E0F43"/>
    <w:rsid w:val="006E6961"/>
    <w:rsid w:val="00705720"/>
    <w:rsid w:val="007E3936"/>
    <w:rsid w:val="007F4894"/>
    <w:rsid w:val="00823BC1"/>
    <w:rsid w:val="00863636"/>
    <w:rsid w:val="008B5A49"/>
    <w:rsid w:val="008F113B"/>
    <w:rsid w:val="00960400"/>
    <w:rsid w:val="00985483"/>
    <w:rsid w:val="00AB4833"/>
    <w:rsid w:val="00B107AD"/>
    <w:rsid w:val="00B12E47"/>
    <w:rsid w:val="00B440E6"/>
    <w:rsid w:val="00B912AC"/>
    <w:rsid w:val="00BB5E32"/>
    <w:rsid w:val="00BE2087"/>
    <w:rsid w:val="00C0129C"/>
    <w:rsid w:val="00C26C45"/>
    <w:rsid w:val="00C44BA6"/>
    <w:rsid w:val="00C52742"/>
    <w:rsid w:val="00CB0210"/>
    <w:rsid w:val="00D939C9"/>
    <w:rsid w:val="00DD7736"/>
    <w:rsid w:val="00DF766D"/>
    <w:rsid w:val="00E835FE"/>
    <w:rsid w:val="00E86DD6"/>
    <w:rsid w:val="00EE562F"/>
    <w:rsid w:val="00F136EF"/>
    <w:rsid w:val="00F15EF9"/>
    <w:rsid w:val="00F92EC7"/>
    <w:rsid w:val="00F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0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E6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yrirsgn-Greinarger">
    <w:name w:val="Fyrirsögn - Greinargerð"/>
    <w:basedOn w:val="Normal"/>
    <w:next w:val="Normal"/>
    <w:qFormat/>
    <w:rsid w:val="00B440E6"/>
    <w:pPr>
      <w:ind w:firstLine="0"/>
      <w:jc w:val="center"/>
    </w:pPr>
    <w:rPr>
      <w:spacing w:val="44"/>
    </w:rPr>
  </w:style>
  <w:style w:type="paragraph" w:customStyle="1" w:styleId="Millifyrirsgn1">
    <w:name w:val="Millifyrirsögn 1"/>
    <w:basedOn w:val="Normal"/>
    <w:next w:val="Normal"/>
    <w:qFormat/>
    <w:rsid w:val="00B440E6"/>
    <w:pPr>
      <w:ind w:firstLine="0"/>
    </w:pPr>
    <w:rPr>
      <w:b/>
    </w:rPr>
  </w:style>
  <w:style w:type="paragraph" w:customStyle="1" w:styleId="Fyrirsgn-skjalategund">
    <w:name w:val="Fyrirsögn - skjalategund"/>
    <w:basedOn w:val="Normal"/>
    <w:next w:val="Normal"/>
    <w:qFormat/>
    <w:rsid w:val="00B440E6"/>
    <w:pPr>
      <w:spacing w:before="720" w:after="360"/>
      <w:ind w:firstLine="0"/>
      <w:jc w:val="center"/>
    </w:pPr>
    <w:rPr>
      <w:b/>
      <w:sz w:val="32"/>
    </w:rPr>
  </w:style>
  <w:style w:type="paragraph" w:customStyle="1" w:styleId="Fyrirsgn-undirfyrirsgn">
    <w:name w:val="Fyrirsögn - undirfyrirsögn"/>
    <w:basedOn w:val="Normal"/>
    <w:next w:val="Normal"/>
    <w:qFormat/>
    <w:rsid w:val="00B440E6"/>
    <w:pPr>
      <w:ind w:firstLine="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B440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E6"/>
    <w:rPr>
      <w:rFonts w:ascii="Times New Roman" w:eastAsia="Calibri" w:hAnsi="Times New Roman" w:cs="Times New Roman"/>
      <w:sz w:val="21"/>
    </w:rPr>
  </w:style>
  <w:style w:type="paragraph" w:customStyle="1" w:styleId="Nmeringsskjalsmls">
    <w:name w:val="Númer þings/skjals/máls"/>
    <w:basedOn w:val="Normal"/>
    <w:next w:val="Normal"/>
    <w:qFormat/>
    <w:rsid w:val="00B440E6"/>
    <w:pPr>
      <w:ind w:firstLine="0"/>
    </w:pPr>
    <w:rPr>
      <w:b/>
    </w:rPr>
  </w:style>
  <w:style w:type="paragraph" w:customStyle="1" w:styleId="Frrherra">
    <w:name w:val="Frá ...ráðherra"/>
    <w:basedOn w:val="Normal"/>
    <w:next w:val="Normal"/>
    <w:qFormat/>
    <w:rsid w:val="00B440E6"/>
    <w:pPr>
      <w:ind w:firstLine="0"/>
      <w:jc w:val="center"/>
    </w:pPr>
    <w:rPr>
      <w:rFonts w:eastAsiaTheme="minorHAnsi" w:cstheme="minorBidi"/>
    </w:rPr>
  </w:style>
  <w:style w:type="paragraph" w:styleId="ListParagraph">
    <w:name w:val="List Paragraph"/>
    <w:basedOn w:val="Normal"/>
    <w:uiPriority w:val="34"/>
    <w:unhideWhenUsed/>
    <w:rsid w:val="00B440E6"/>
    <w:pPr>
      <w:ind w:left="720"/>
      <w:contextualSpacing/>
    </w:pPr>
  </w:style>
  <w:style w:type="character" w:styleId="Strong">
    <w:name w:val="Strong"/>
    <w:basedOn w:val="DefaultParagraphFont"/>
    <w:qFormat/>
    <w:rsid w:val="00B440E6"/>
    <w:rPr>
      <w:b/>
      <w:bCs/>
    </w:rPr>
  </w:style>
  <w:style w:type="numbering" w:customStyle="1" w:styleId="Althingi1-a-1-a">
    <w:name w:val="Althingi 1 - a - 1 -a"/>
    <w:uiPriority w:val="99"/>
    <w:rsid w:val="008B5A4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52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74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742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4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63D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10"/>
    <w:rPr>
      <w:rFonts w:ascii="Times New Roman" w:eastAsia="Calibri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E6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yrirsgn-Greinarger">
    <w:name w:val="Fyrirsögn - Greinargerð"/>
    <w:basedOn w:val="Normal"/>
    <w:next w:val="Normal"/>
    <w:qFormat/>
    <w:rsid w:val="00B440E6"/>
    <w:pPr>
      <w:ind w:firstLine="0"/>
      <w:jc w:val="center"/>
    </w:pPr>
    <w:rPr>
      <w:spacing w:val="44"/>
    </w:rPr>
  </w:style>
  <w:style w:type="paragraph" w:customStyle="1" w:styleId="Millifyrirsgn1">
    <w:name w:val="Millifyrirsögn 1"/>
    <w:basedOn w:val="Normal"/>
    <w:next w:val="Normal"/>
    <w:qFormat/>
    <w:rsid w:val="00B440E6"/>
    <w:pPr>
      <w:ind w:firstLine="0"/>
    </w:pPr>
    <w:rPr>
      <w:b/>
    </w:rPr>
  </w:style>
  <w:style w:type="paragraph" w:customStyle="1" w:styleId="Fyrirsgn-skjalategund">
    <w:name w:val="Fyrirsögn - skjalategund"/>
    <w:basedOn w:val="Normal"/>
    <w:next w:val="Normal"/>
    <w:qFormat/>
    <w:rsid w:val="00B440E6"/>
    <w:pPr>
      <w:spacing w:before="720" w:after="360"/>
      <w:ind w:firstLine="0"/>
      <w:jc w:val="center"/>
    </w:pPr>
    <w:rPr>
      <w:b/>
      <w:sz w:val="32"/>
    </w:rPr>
  </w:style>
  <w:style w:type="paragraph" w:customStyle="1" w:styleId="Fyrirsgn-undirfyrirsgn">
    <w:name w:val="Fyrirsögn - undirfyrirsögn"/>
    <w:basedOn w:val="Normal"/>
    <w:next w:val="Normal"/>
    <w:qFormat/>
    <w:rsid w:val="00B440E6"/>
    <w:pPr>
      <w:ind w:firstLine="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B440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E6"/>
    <w:rPr>
      <w:rFonts w:ascii="Times New Roman" w:eastAsia="Calibri" w:hAnsi="Times New Roman" w:cs="Times New Roman"/>
      <w:sz w:val="21"/>
    </w:rPr>
  </w:style>
  <w:style w:type="paragraph" w:customStyle="1" w:styleId="Nmeringsskjalsmls">
    <w:name w:val="Númer þings/skjals/máls"/>
    <w:basedOn w:val="Normal"/>
    <w:next w:val="Normal"/>
    <w:qFormat/>
    <w:rsid w:val="00B440E6"/>
    <w:pPr>
      <w:ind w:firstLine="0"/>
    </w:pPr>
    <w:rPr>
      <w:b/>
    </w:rPr>
  </w:style>
  <w:style w:type="paragraph" w:customStyle="1" w:styleId="Frrherra">
    <w:name w:val="Frá ...ráðherra"/>
    <w:basedOn w:val="Normal"/>
    <w:next w:val="Normal"/>
    <w:qFormat/>
    <w:rsid w:val="00B440E6"/>
    <w:pPr>
      <w:ind w:firstLine="0"/>
      <w:jc w:val="center"/>
    </w:pPr>
    <w:rPr>
      <w:rFonts w:eastAsiaTheme="minorHAnsi" w:cstheme="minorBidi"/>
    </w:rPr>
  </w:style>
  <w:style w:type="paragraph" w:styleId="ListParagraph">
    <w:name w:val="List Paragraph"/>
    <w:basedOn w:val="Normal"/>
    <w:uiPriority w:val="34"/>
    <w:unhideWhenUsed/>
    <w:rsid w:val="00B440E6"/>
    <w:pPr>
      <w:ind w:left="720"/>
      <w:contextualSpacing/>
    </w:pPr>
  </w:style>
  <w:style w:type="character" w:styleId="Strong">
    <w:name w:val="Strong"/>
    <w:basedOn w:val="DefaultParagraphFont"/>
    <w:qFormat/>
    <w:rsid w:val="00B440E6"/>
    <w:rPr>
      <w:b/>
      <w:bCs/>
    </w:rPr>
  </w:style>
  <w:style w:type="numbering" w:customStyle="1" w:styleId="Althingi1-a-1-a">
    <w:name w:val="Althingi 1 - a - 1 -a"/>
    <w:uiPriority w:val="99"/>
    <w:rsid w:val="008B5A4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52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74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742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4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63D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10"/>
    <w:rPr>
      <w:rFonts w:ascii="Times New Roman" w:eastAsia="Calibri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Finnur Þór Birgisson</dc:creator>
  <cp:lastModifiedBy>Álfhildur Álfþórsdóttir</cp:lastModifiedBy>
  <cp:revision>5</cp:revision>
  <cp:lastPrinted>2017-09-08T10:35:00Z</cp:lastPrinted>
  <dcterms:created xsi:type="dcterms:W3CDTF">2018-03-01T17:49:00Z</dcterms:created>
  <dcterms:modified xsi:type="dcterms:W3CDTF">2018-03-01T17:57:00Z</dcterms:modified>
</cp:coreProperties>
</file>