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4F3B" w14:textId="01D02E2E" w:rsidR="006243DD" w:rsidRDefault="006243DD" w:rsidP="006243DD">
      <w:pPr>
        <w:pStyle w:val="Nmeringsskjalsmls"/>
      </w:pPr>
      <w:r w:rsidRPr="002037AA">
        <w:t>15</w:t>
      </w:r>
      <w:r w:rsidR="00C61EA2">
        <w:t>1</w:t>
      </w:r>
      <w:r w:rsidRPr="002037AA">
        <w:t>. löggjafarþing 20</w:t>
      </w:r>
      <w:r w:rsidR="00C61EA2">
        <w:t>20</w:t>
      </w:r>
      <w:r w:rsidRPr="002037AA">
        <w:t>–202</w:t>
      </w:r>
      <w:r w:rsidR="00C61EA2">
        <w:t>1</w:t>
      </w:r>
      <w:r w:rsidRPr="002037AA">
        <w:t>.</w:t>
      </w:r>
      <w:r>
        <w:t xml:space="preserve"> </w:t>
      </w:r>
    </w:p>
    <w:p w14:paraId="3EB55511" w14:textId="0A097EFD" w:rsidR="006243DD" w:rsidRDefault="006243DD" w:rsidP="006243DD">
      <w:pPr>
        <w:pStyle w:val="Nmeringsskjalsmls"/>
      </w:pPr>
      <w:r>
        <w:t xml:space="preserve">Þingskjal </w:t>
      </w:r>
      <w:r w:rsidR="00B243DF">
        <w:t>1163</w:t>
      </w:r>
      <w:r>
        <w:t xml:space="preserve"> — </w:t>
      </w:r>
      <w:r w:rsidR="00B243DF">
        <w:t>691</w:t>
      </w:r>
      <w:r>
        <w:t xml:space="preserve">. mál. </w:t>
      </w:r>
    </w:p>
    <w:p w14:paraId="4D8D345B" w14:textId="77777777" w:rsidR="006243DD" w:rsidRDefault="006243DD" w:rsidP="006243DD">
      <w:pPr>
        <w:pStyle w:val="Nmeringsskjalsmls"/>
      </w:pPr>
      <w:r>
        <w:t>Stjórnartillaga.</w:t>
      </w:r>
    </w:p>
    <w:p w14:paraId="3D1E7654" w14:textId="77777777" w:rsidR="006243DD" w:rsidRPr="004766EF" w:rsidRDefault="006243DD" w:rsidP="006243DD">
      <w:pPr>
        <w:pStyle w:val="Fyrirsgn-skjalategund"/>
      </w:pPr>
      <w:r w:rsidRPr="004766EF">
        <w:t>Tillaga til þingsályktunar</w:t>
      </w:r>
    </w:p>
    <w:p w14:paraId="72B458BA" w14:textId="53FA6D80" w:rsidR="006804E2" w:rsidRDefault="006243DD" w:rsidP="00371A83">
      <w:pPr>
        <w:pStyle w:val="Fyrirsgn-undirfyrirsgn"/>
      </w:pPr>
      <w:r w:rsidRPr="00AD1D9A">
        <w:rPr>
          <w:szCs w:val="21"/>
        </w:rPr>
        <w:t>um</w:t>
      </w:r>
      <w:r w:rsidR="00A543A6">
        <w:rPr>
          <w:szCs w:val="21"/>
        </w:rPr>
        <w:t xml:space="preserve"> </w:t>
      </w:r>
      <w:r w:rsidRPr="00AD1D9A">
        <w:rPr>
          <w:szCs w:val="21"/>
        </w:rPr>
        <w:t>staðfesting</w:t>
      </w:r>
      <w:r w:rsidR="000A7BBA">
        <w:rPr>
          <w:szCs w:val="21"/>
        </w:rPr>
        <w:t>u</w:t>
      </w:r>
      <w:r w:rsidR="00A543A6">
        <w:rPr>
          <w:szCs w:val="21"/>
        </w:rPr>
        <w:t xml:space="preserve"> </w:t>
      </w:r>
      <w:r w:rsidRPr="00AD1D9A">
        <w:rPr>
          <w:szCs w:val="21"/>
        </w:rPr>
        <w:t>ákvörðun</w:t>
      </w:r>
      <w:r w:rsidR="000A7BBA">
        <w:rPr>
          <w:szCs w:val="21"/>
        </w:rPr>
        <w:t>ar</w:t>
      </w:r>
      <w:r w:rsidRPr="00AD1D9A">
        <w:rPr>
          <w:szCs w:val="21"/>
        </w:rPr>
        <w:t xml:space="preserve"> sameiginlegu </w:t>
      </w:r>
      <w:proofErr w:type="spellStart"/>
      <w:r w:rsidRPr="00AD1D9A">
        <w:rPr>
          <w:szCs w:val="21"/>
        </w:rPr>
        <w:t>EES-nefndarinnar</w:t>
      </w:r>
      <w:proofErr w:type="spellEnd"/>
      <w:r w:rsidRPr="00AD1D9A">
        <w:rPr>
          <w:szCs w:val="21"/>
        </w:rPr>
        <w:t xml:space="preserve"> </w:t>
      </w:r>
      <w:bookmarkStart w:id="0" w:name="_Hlk12527027"/>
      <w:r w:rsidR="00EB7A92">
        <w:rPr>
          <w:szCs w:val="21"/>
        </w:rPr>
        <w:t>nr. 2</w:t>
      </w:r>
      <w:r w:rsidR="00371A83">
        <w:rPr>
          <w:szCs w:val="21"/>
        </w:rPr>
        <w:t>35</w:t>
      </w:r>
      <w:r w:rsidR="00EB7A92">
        <w:rPr>
          <w:szCs w:val="21"/>
        </w:rPr>
        <w:t xml:space="preserve">/2020 </w:t>
      </w:r>
      <w:r w:rsidR="00C44B62" w:rsidRPr="008E1098">
        <w:rPr>
          <w:szCs w:val="21"/>
        </w:rPr>
        <w:t>um breytingu á</w:t>
      </w:r>
      <w:bookmarkStart w:id="1" w:name="_Hlk12882546"/>
      <w:r w:rsidR="00C61EA2">
        <w:rPr>
          <w:szCs w:val="21"/>
        </w:rPr>
        <w:t xml:space="preserve"> </w:t>
      </w:r>
      <w:r w:rsidR="00371A83">
        <w:t xml:space="preserve">XXII. viðauka (Félagaréttur) </w:t>
      </w:r>
      <w:r w:rsidR="00B560F6">
        <w:t xml:space="preserve">við </w:t>
      </w:r>
      <w:proofErr w:type="spellStart"/>
      <w:r w:rsidR="00B560F6">
        <w:t>EES-samningin</w:t>
      </w:r>
      <w:r w:rsidR="00A57E4A">
        <w:t>n</w:t>
      </w:r>
      <w:proofErr w:type="spellEnd"/>
      <w:r w:rsidR="00555C78">
        <w:rPr>
          <w:szCs w:val="21"/>
        </w:rPr>
        <w:t>.</w:t>
      </w:r>
      <w:bookmarkEnd w:id="0"/>
      <w:bookmarkEnd w:id="1"/>
    </w:p>
    <w:p w14:paraId="107EF359" w14:textId="77777777" w:rsidR="00371A83" w:rsidRPr="00371A83" w:rsidRDefault="00371A83" w:rsidP="00371A83"/>
    <w:p w14:paraId="468E9001" w14:textId="1E28F416" w:rsidR="006243DD" w:rsidRPr="00822314" w:rsidRDefault="006243DD" w:rsidP="006243DD">
      <w:pPr>
        <w:pStyle w:val="Frrherra"/>
        <w:rPr>
          <w:szCs w:val="21"/>
        </w:rPr>
      </w:pPr>
      <w:r w:rsidRPr="00822314">
        <w:rPr>
          <w:szCs w:val="21"/>
        </w:rPr>
        <w:t xml:space="preserve">Frá </w:t>
      </w:r>
      <w:r w:rsidR="00892214">
        <w:rPr>
          <w:szCs w:val="21"/>
        </w:rPr>
        <w:t>u</w:t>
      </w:r>
      <w:r w:rsidRPr="00822314">
        <w:rPr>
          <w:szCs w:val="21"/>
        </w:rPr>
        <w:t>tanríkis</w:t>
      </w:r>
      <w:r w:rsidR="00CA7E30">
        <w:rPr>
          <w:szCs w:val="21"/>
        </w:rPr>
        <w:t>- og þróunarsamvinnu</w:t>
      </w:r>
      <w:r w:rsidRPr="00822314">
        <w:rPr>
          <w:szCs w:val="21"/>
        </w:rPr>
        <w:t>ráðherra.</w:t>
      </w:r>
    </w:p>
    <w:p w14:paraId="6637512D" w14:textId="77777777" w:rsidR="006243DD" w:rsidRPr="00822314" w:rsidRDefault="006243DD" w:rsidP="006243DD">
      <w:pPr>
        <w:rPr>
          <w:szCs w:val="21"/>
        </w:rPr>
      </w:pPr>
    </w:p>
    <w:p w14:paraId="73320AE1" w14:textId="77777777" w:rsidR="006243DD" w:rsidRPr="000445E8" w:rsidRDefault="006243DD" w:rsidP="006243DD">
      <w:pPr>
        <w:rPr>
          <w:bCs/>
          <w:szCs w:val="21"/>
        </w:rPr>
      </w:pPr>
    </w:p>
    <w:p w14:paraId="57C31526" w14:textId="4947B20C" w:rsidR="00A543A6" w:rsidRDefault="006243DD" w:rsidP="00D0299A">
      <w:r w:rsidRPr="000445E8">
        <w:t>Alþingi ályktar að heimila ríkisstjórninni að staðfesta fyrir Íslands hönd ákvörðun sam</w:t>
      </w:r>
      <w:r w:rsidRPr="000445E8">
        <w:softHyphen/>
        <w:t xml:space="preserve">eiginlegu </w:t>
      </w:r>
      <w:proofErr w:type="spellStart"/>
      <w:r w:rsidRPr="000445E8">
        <w:t>EES-nefndarinnar</w:t>
      </w:r>
      <w:proofErr w:type="spellEnd"/>
      <w:r w:rsidRPr="000445E8">
        <w:t xml:space="preserve"> </w:t>
      </w:r>
      <w:r w:rsidR="005D7FCE">
        <w:t>nr. 2</w:t>
      </w:r>
      <w:r w:rsidR="00371A83">
        <w:t>35</w:t>
      </w:r>
      <w:r w:rsidR="005D7FCE">
        <w:t xml:space="preserve">/2020 </w:t>
      </w:r>
      <w:r w:rsidR="00A543A6" w:rsidRPr="000445E8">
        <w:t xml:space="preserve">um breytingu á </w:t>
      </w:r>
      <w:r w:rsidR="00371A83" w:rsidRPr="00371A83">
        <w:t>XXII. viðauka (Félagaréttur</w:t>
      </w:r>
      <w:r w:rsidR="00A543A6" w:rsidRPr="00371A83">
        <w:t>)</w:t>
      </w:r>
      <w:r w:rsidR="00A543A6" w:rsidRPr="000445E8">
        <w:t xml:space="preserve"> við </w:t>
      </w:r>
      <w:proofErr w:type="spellStart"/>
      <w:r w:rsidR="00A543A6" w:rsidRPr="000445E8">
        <w:t>EES-samninginn</w:t>
      </w:r>
      <w:proofErr w:type="spellEnd"/>
      <w:r w:rsidR="00B252B3">
        <w:t xml:space="preserve"> </w:t>
      </w:r>
      <w:r w:rsidR="00A543A6" w:rsidRPr="000445E8">
        <w:t>o</w:t>
      </w:r>
      <w:r w:rsidR="007301BA">
        <w:t>g</w:t>
      </w:r>
      <w:r w:rsidR="00A543A6" w:rsidRPr="000445E8">
        <w:t xml:space="preserve"> fella inn í samninginn </w:t>
      </w:r>
      <w:r w:rsidR="00371A83" w:rsidRPr="00371A83">
        <w:t>tilskipun Evrópuþingsins og ráðsins (ESB) 2017/828 frá 17. maí 2017 um breytingu á tilskipun 2007/36/EB að því er varðar hvatningu til þátttöku hluthafa til lengri tíma.</w:t>
      </w:r>
    </w:p>
    <w:p w14:paraId="2F4ACF55" w14:textId="77777777" w:rsidR="00082AE9" w:rsidRPr="00822314" w:rsidRDefault="00082AE9" w:rsidP="002863BB">
      <w:pPr>
        <w:rPr>
          <w:szCs w:val="21"/>
        </w:rPr>
      </w:pPr>
    </w:p>
    <w:p w14:paraId="1947446A" w14:textId="77777777" w:rsidR="006243DD" w:rsidRPr="00822314" w:rsidRDefault="006243DD" w:rsidP="006243DD">
      <w:pPr>
        <w:pStyle w:val="Fyrirsgn-Greinarger"/>
        <w:rPr>
          <w:szCs w:val="21"/>
        </w:rPr>
      </w:pPr>
      <w:r w:rsidRPr="00822314">
        <w:rPr>
          <w:szCs w:val="21"/>
        </w:rPr>
        <w:t>Greinargerð.</w:t>
      </w:r>
    </w:p>
    <w:p w14:paraId="5E184663" w14:textId="77777777" w:rsidR="006243DD" w:rsidRPr="00822314" w:rsidRDefault="006243DD" w:rsidP="006243DD">
      <w:pPr>
        <w:pStyle w:val="Millifyrirsgn1"/>
        <w:rPr>
          <w:szCs w:val="21"/>
        </w:rPr>
      </w:pPr>
      <w:r w:rsidRPr="00822314">
        <w:rPr>
          <w:szCs w:val="21"/>
        </w:rPr>
        <w:t>1. Inngangur.</w:t>
      </w:r>
    </w:p>
    <w:p w14:paraId="24A507B9" w14:textId="5E865B70" w:rsidR="00B252B3" w:rsidRPr="00371A83" w:rsidRDefault="006243DD" w:rsidP="00D0299A">
      <w:pPr>
        <w:rPr>
          <w:b/>
        </w:rPr>
      </w:pPr>
      <w:r w:rsidRPr="00371A83">
        <w:t>Með þingsályktunartillögu þessari er leitað heimildar Alþingis til staðfestingar á</w:t>
      </w:r>
      <w:r w:rsidR="00F44C09" w:rsidRPr="00371A83">
        <w:t xml:space="preserve"> </w:t>
      </w:r>
      <w:proofErr w:type="spellStart"/>
      <w:r w:rsidR="00F44C09" w:rsidRPr="00371A83">
        <w:t>fyrir</w:t>
      </w:r>
      <w:r w:rsidR="000A7BBA">
        <w:softHyphen/>
      </w:r>
      <w:r w:rsidR="00F44C09" w:rsidRPr="00371A83">
        <w:t>hug</w:t>
      </w:r>
      <w:r w:rsidR="000A7BBA">
        <w:softHyphen/>
      </w:r>
      <w:r w:rsidR="00F44C09" w:rsidRPr="00371A83">
        <w:t>aðri</w:t>
      </w:r>
      <w:proofErr w:type="spellEnd"/>
      <w:r w:rsidRPr="00371A83">
        <w:t xml:space="preserve"> ákvörðun sameiginlegu </w:t>
      </w:r>
      <w:proofErr w:type="spellStart"/>
      <w:r w:rsidRPr="00371A83">
        <w:t>EES-nefndarinnar</w:t>
      </w:r>
      <w:proofErr w:type="spellEnd"/>
      <w:r w:rsidRPr="00371A83">
        <w:t xml:space="preserve"> </w:t>
      </w:r>
      <w:r w:rsidR="00F07AEF" w:rsidRPr="00371A83">
        <w:t xml:space="preserve">um breytingu </w:t>
      </w:r>
      <w:r w:rsidR="000445E8" w:rsidRPr="00371A83">
        <w:t xml:space="preserve">á </w:t>
      </w:r>
      <w:r w:rsidR="00371A83" w:rsidRPr="00371A83">
        <w:t xml:space="preserve">XXII. viðauka (Félagaréttur) við </w:t>
      </w:r>
      <w:proofErr w:type="spellStart"/>
      <w:r w:rsidR="00371A83" w:rsidRPr="00371A83">
        <w:t>EES-samninginn</w:t>
      </w:r>
      <w:proofErr w:type="spellEnd"/>
      <w:r w:rsidR="00371A83" w:rsidRPr="00371A83">
        <w:t xml:space="preserve"> </w:t>
      </w:r>
      <w:r w:rsidR="005D7FCE" w:rsidRPr="00371A83">
        <w:t xml:space="preserve">(fskj. I) </w:t>
      </w:r>
      <w:r w:rsidR="000445E8" w:rsidRPr="00371A83">
        <w:t xml:space="preserve"> o</w:t>
      </w:r>
      <w:r w:rsidR="007301BA" w:rsidRPr="00371A83">
        <w:t>g</w:t>
      </w:r>
      <w:r w:rsidR="000445E8" w:rsidRPr="00371A83">
        <w:t xml:space="preserve"> </w:t>
      </w:r>
      <w:r w:rsidR="00C117FB" w:rsidRPr="00371A83">
        <w:t xml:space="preserve">að </w:t>
      </w:r>
      <w:r w:rsidR="000445E8" w:rsidRPr="00371A83">
        <w:t xml:space="preserve">fella inn í samninginn </w:t>
      </w:r>
      <w:r w:rsidR="00371A83" w:rsidRPr="00371A83">
        <w:t xml:space="preserve">tilskipun Evrópuþingsins og ráðsins (ESB) 2017/828 frá 17. maí 2017 um breytingu á tilskipun 2007/36/EB að því er varðar hvatningu til þátttöku hluthafa til lengri tíma </w:t>
      </w:r>
      <w:r w:rsidR="005D7FCE" w:rsidRPr="00371A83">
        <w:t>(fskj. II).</w:t>
      </w:r>
    </w:p>
    <w:p w14:paraId="2D42F54E" w14:textId="234B5879" w:rsidR="005D7FCE" w:rsidRPr="00822314" w:rsidRDefault="005D7FCE" w:rsidP="0046665D">
      <w:r w:rsidRPr="00822314">
        <w:t>Þar sem innleiðing</w:t>
      </w:r>
      <w:r>
        <w:t xml:space="preserve"> fyrrnefndrar gerðar krefst breytinga á lögum</w:t>
      </w:r>
      <w:r w:rsidRPr="00822314">
        <w:t xml:space="preserve"> var </w:t>
      </w:r>
      <w:r w:rsidRPr="008E1098">
        <w:t xml:space="preserve">ákvörðun nr. </w:t>
      </w:r>
      <w:r>
        <w:t>2</w:t>
      </w:r>
      <w:r w:rsidR="00371A83">
        <w:t>35</w:t>
      </w:r>
      <w:r>
        <w:t>/2020</w:t>
      </w:r>
      <w:r w:rsidRPr="00822314">
        <w:t xml:space="preserve"> </w:t>
      </w:r>
      <w:proofErr w:type="spellStart"/>
      <w:r w:rsidRPr="00822314">
        <w:t>tek</w:t>
      </w:r>
      <w:r>
        <w:softHyphen/>
      </w:r>
      <w:r w:rsidRPr="00822314">
        <w:t>in</w:t>
      </w:r>
      <w:proofErr w:type="spellEnd"/>
      <w:r w:rsidRPr="00822314">
        <w:t xml:space="preserve"> af sameiginlegu </w:t>
      </w:r>
      <w:proofErr w:type="spellStart"/>
      <w:r w:rsidRPr="00822314">
        <w:t>EES-nefndinni</w:t>
      </w:r>
      <w:proofErr w:type="spellEnd"/>
      <w:r w:rsidRPr="00822314">
        <w:t xml:space="preserve"> með stjórnskipulegum fyrirvara af Íslands hálfu. Í tillögu </w:t>
      </w:r>
      <w:proofErr w:type="spellStart"/>
      <w:r w:rsidRPr="00822314">
        <w:t>þess</w:t>
      </w:r>
      <w:r>
        <w:softHyphen/>
      </w:r>
      <w:r w:rsidRPr="00822314">
        <w:t>ari</w:t>
      </w:r>
      <w:proofErr w:type="spellEnd"/>
      <w:r w:rsidRPr="00822314">
        <w:t xml:space="preserve"> er gerð nánari grein fyrir því hvað felst í </w:t>
      </w:r>
      <w:proofErr w:type="spellStart"/>
      <w:r w:rsidRPr="00822314">
        <w:t>slíkum</w:t>
      </w:r>
      <w:proofErr w:type="spellEnd"/>
      <w:r w:rsidRPr="00822314">
        <w:t xml:space="preserve"> fyrirvara, sbr. 103. gr. </w:t>
      </w:r>
      <w:proofErr w:type="spellStart"/>
      <w:r w:rsidRPr="00822314">
        <w:t>EES-samn</w:t>
      </w:r>
      <w:r w:rsidRPr="00822314">
        <w:softHyphen/>
        <w:t>ings</w:t>
      </w:r>
      <w:r w:rsidRPr="00822314">
        <w:softHyphen/>
        <w:t>ins</w:t>
      </w:r>
      <w:proofErr w:type="spellEnd"/>
      <w:r w:rsidRPr="00822314">
        <w:t xml:space="preserve">. Jafnframt er gerð grein fyrir efni </w:t>
      </w:r>
      <w:r>
        <w:t>gerða</w:t>
      </w:r>
      <w:r w:rsidR="000E6646">
        <w:t>rinnar</w:t>
      </w:r>
      <w:r>
        <w:t xml:space="preserve"> </w:t>
      </w:r>
      <w:r w:rsidRPr="00822314">
        <w:t xml:space="preserve">sem hér um </w:t>
      </w:r>
      <w:proofErr w:type="spellStart"/>
      <w:r w:rsidRPr="00822314">
        <w:t>ræðir</w:t>
      </w:r>
      <w:proofErr w:type="spellEnd"/>
      <w:r w:rsidRPr="00822314">
        <w:t xml:space="preserve">. </w:t>
      </w:r>
      <w:r w:rsidR="000E6646">
        <w:t>Hún</w:t>
      </w:r>
      <w:r>
        <w:t xml:space="preserve"> fel</w:t>
      </w:r>
      <w:r w:rsidR="000E6646">
        <w:t>ur</w:t>
      </w:r>
      <w:r>
        <w:t xml:space="preserve"> </w:t>
      </w:r>
      <w:r w:rsidRPr="00822314">
        <w:t xml:space="preserve">ekki í sér </w:t>
      </w:r>
      <w:proofErr w:type="spellStart"/>
      <w:r w:rsidRPr="00822314">
        <w:t>breyt</w:t>
      </w:r>
      <w:r w:rsidRPr="00822314">
        <w:softHyphen/>
        <w:t>ingar</w:t>
      </w:r>
      <w:proofErr w:type="spellEnd"/>
      <w:r w:rsidRPr="00822314">
        <w:t xml:space="preserve"> á þeim meginreglum sem í </w:t>
      </w:r>
      <w:proofErr w:type="spellStart"/>
      <w:r w:rsidRPr="00822314">
        <w:t>EES-samningnum</w:t>
      </w:r>
      <w:proofErr w:type="spellEnd"/>
      <w:r w:rsidRPr="00822314">
        <w:t xml:space="preserve"> felast. </w:t>
      </w:r>
    </w:p>
    <w:p w14:paraId="5EFB1921" w14:textId="77777777" w:rsidR="005D7FCE" w:rsidRPr="005D7FCE" w:rsidRDefault="005D7FCE" w:rsidP="00B252B3">
      <w:pPr>
        <w:rPr>
          <w:highlight w:val="yellow"/>
        </w:rPr>
      </w:pPr>
    </w:p>
    <w:p w14:paraId="57D296C5" w14:textId="77777777" w:rsidR="006243DD" w:rsidRPr="00822314" w:rsidRDefault="006243DD" w:rsidP="006243DD">
      <w:pPr>
        <w:pStyle w:val="Millifyrirsgn1"/>
        <w:rPr>
          <w:szCs w:val="21"/>
        </w:rPr>
      </w:pPr>
      <w:r w:rsidRPr="00822314">
        <w:rPr>
          <w:szCs w:val="21"/>
        </w:rPr>
        <w:t xml:space="preserve">2. Um upptöku </w:t>
      </w:r>
      <w:proofErr w:type="spellStart"/>
      <w:r w:rsidRPr="00822314">
        <w:rPr>
          <w:szCs w:val="21"/>
        </w:rPr>
        <w:t>ESB-gerða</w:t>
      </w:r>
      <w:proofErr w:type="spellEnd"/>
      <w:r w:rsidRPr="00822314">
        <w:rPr>
          <w:szCs w:val="21"/>
        </w:rPr>
        <w:t xml:space="preserve"> í </w:t>
      </w:r>
      <w:proofErr w:type="spellStart"/>
      <w:r w:rsidRPr="00822314">
        <w:rPr>
          <w:szCs w:val="21"/>
        </w:rPr>
        <w:t>EES-samninginn</w:t>
      </w:r>
      <w:proofErr w:type="spellEnd"/>
      <w:r w:rsidRPr="00822314">
        <w:rPr>
          <w:szCs w:val="21"/>
        </w:rPr>
        <w:t xml:space="preserve"> og um stjórnskipulegan fyrirvara. </w:t>
      </w:r>
    </w:p>
    <w:p w14:paraId="44EEEC9E" w14:textId="77777777" w:rsidR="006243DD" w:rsidRPr="00822314" w:rsidRDefault="006243DD" w:rsidP="006243DD">
      <w:pPr>
        <w:rPr>
          <w:rFonts w:eastAsiaTheme="minorHAnsi"/>
          <w:color w:val="000000"/>
          <w:szCs w:val="21"/>
        </w:rPr>
      </w:pPr>
      <w:r w:rsidRPr="00822314">
        <w:rPr>
          <w:rFonts w:eastAsiaTheme="minorHAnsi"/>
          <w:color w:val="000000"/>
          <w:szCs w:val="21"/>
        </w:rPr>
        <w:t xml:space="preserve">Á hverju ári er nokkur fjöldi </w:t>
      </w:r>
      <w:proofErr w:type="spellStart"/>
      <w:r w:rsidRPr="00822314">
        <w:rPr>
          <w:rFonts w:eastAsiaTheme="minorHAnsi"/>
          <w:color w:val="000000"/>
          <w:szCs w:val="21"/>
        </w:rPr>
        <w:t>ESB-gerða</w:t>
      </w:r>
      <w:proofErr w:type="spellEnd"/>
      <w:r w:rsidRPr="00822314">
        <w:rPr>
          <w:rFonts w:eastAsiaTheme="minorHAnsi"/>
          <w:color w:val="000000"/>
          <w:szCs w:val="21"/>
        </w:rPr>
        <w:t xml:space="preserve"> tekinn upp í </w:t>
      </w:r>
      <w:proofErr w:type="spellStart"/>
      <w:r w:rsidRPr="00822314">
        <w:rPr>
          <w:rFonts w:eastAsiaTheme="minorHAnsi"/>
          <w:color w:val="000000"/>
          <w:szCs w:val="21"/>
        </w:rPr>
        <w:t>EES-samninginn</w:t>
      </w:r>
      <w:proofErr w:type="spellEnd"/>
      <w:r w:rsidRPr="00822314">
        <w:rPr>
          <w:rFonts w:eastAsiaTheme="minorHAnsi"/>
          <w:color w:val="000000"/>
          <w:szCs w:val="21"/>
        </w:rPr>
        <w:t xml:space="preserve"> með ákvörðunum sameiginlegu </w:t>
      </w:r>
      <w:proofErr w:type="spellStart"/>
      <w:r w:rsidRPr="00822314">
        <w:rPr>
          <w:rFonts w:eastAsiaTheme="minorHAnsi"/>
          <w:color w:val="000000"/>
          <w:szCs w:val="21"/>
        </w:rPr>
        <w:t>EES-nefndarinnar</w:t>
      </w:r>
      <w:proofErr w:type="spellEnd"/>
      <w:r w:rsidRPr="00822314">
        <w:rPr>
          <w:rFonts w:eastAsiaTheme="minorHAnsi"/>
          <w:color w:val="000000"/>
          <w:szCs w:val="21"/>
        </w:rPr>
        <w:t xml:space="preserve">. </w:t>
      </w:r>
      <w:proofErr w:type="spellStart"/>
      <w:r w:rsidRPr="00822314">
        <w:rPr>
          <w:rFonts w:eastAsiaTheme="minorHAnsi"/>
          <w:color w:val="000000"/>
          <w:szCs w:val="21"/>
        </w:rPr>
        <w:t>Þó</w:t>
      </w:r>
      <w:proofErr w:type="spellEnd"/>
      <w:r w:rsidRPr="00822314">
        <w:rPr>
          <w:rFonts w:eastAsiaTheme="minorHAnsi"/>
          <w:color w:val="000000"/>
          <w:szCs w:val="21"/>
        </w:rPr>
        <w:t xml:space="preserve"> er um að ræða tiltölulega </w:t>
      </w:r>
      <w:proofErr w:type="spellStart"/>
      <w:r w:rsidRPr="00822314">
        <w:rPr>
          <w:rFonts w:eastAsiaTheme="minorHAnsi"/>
          <w:color w:val="000000"/>
          <w:szCs w:val="21"/>
        </w:rPr>
        <w:t>lágt</w:t>
      </w:r>
      <w:proofErr w:type="spellEnd"/>
      <w:r w:rsidRPr="00822314">
        <w:rPr>
          <w:rFonts w:eastAsiaTheme="minorHAnsi"/>
          <w:color w:val="000000"/>
          <w:szCs w:val="21"/>
        </w:rPr>
        <w:t xml:space="preserve"> hlutfall af heildarfjölda þeirra gerða sem ESB samþykkir. Í </w:t>
      </w:r>
      <w:proofErr w:type="spellStart"/>
      <w:r w:rsidRPr="00822314">
        <w:rPr>
          <w:rFonts w:eastAsiaTheme="minorHAnsi"/>
          <w:color w:val="000000"/>
          <w:szCs w:val="21"/>
        </w:rPr>
        <w:t>skýrslu</w:t>
      </w:r>
      <w:proofErr w:type="spellEnd"/>
      <w:r w:rsidRPr="00822314">
        <w:rPr>
          <w:rFonts w:eastAsiaTheme="minorHAnsi"/>
          <w:color w:val="000000"/>
          <w:szCs w:val="21"/>
        </w:rPr>
        <w:t xml:space="preserve"> utanríkisráðuneytisins</w:t>
      </w:r>
      <w:r>
        <w:rPr>
          <w:rFonts w:eastAsiaTheme="minorHAnsi"/>
          <w:color w:val="000000"/>
          <w:szCs w:val="21"/>
        </w:rPr>
        <w:t>,</w:t>
      </w:r>
      <w:r w:rsidRPr="00822314">
        <w:rPr>
          <w:rFonts w:eastAsiaTheme="minorHAnsi"/>
          <w:color w:val="000000"/>
          <w:szCs w:val="21"/>
        </w:rPr>
        <w:t xml:space="preserve"> „Gengið til góðs – skref</w:t>
      </w:r>
      <w:r>
        <w:rPr>
          <w:rFonts w:eastAsiaTheme="minorHAnsi"/>
          <w:color w:val="000000"/>
          <w:szCs w:val="21"/>
        </w:rPr>
        <w:t xml:space="preserve"> í átt </w:t>
      </w:r>
      <w:r w:rsidRPr="00822314">
        <w:rPr>
          <w:rFonts w:eastAsiaTheme="minorHAnsi"/>
          <w:color w:val="000000"/>
          <w:szCs w:val="21"/>
        </w:rPr>
        <w:t xml:space="preserve">að bættri framkvæmd </w:t>
      </w:r>
      <w:proofErr w:type="spellStart"/>
      <w:r w:rsidRPr="00822314">
        <w:rPr>
          <w:rFonts w:eastAsiaTheme="minorHAnsi"/>
          <w:color w:val="000000"/>
          <w:szCs w:val="21"/>
        </w:rPr>
        <w:t>EES-samningsins</w:t>
      </w:r>
      <w:proofErr w:type="spellEnd"/>
      <w:r w:rsidRPr="00822314">
        <w:rPr>
          <w:rFonts w:eastAsiaTheme="minorHAnsi"/>
          <w:color w:val="000000"/>
          <w:szCs w:val="21"/>
        </w:rPr>
        <w:t>“</w:t>
      </w:r>
      <w:r>
        <w:rPr>
          <w:rFonts w:eastAsiaTheme="minorHAnsi"/>
          <w:color w:val="000000"/>
          <w:szCs w:val="21"/>
        </w:rPr>
        <w:t>,</w:t>
      </w:r>
      <w:r w:rsidRPr="00822314">
        <w:rPr>
          <w:rFonts w:eastAsiaTheme="minorHAnsi"/>
          <w:color w:val="000000"/>
          <w:szCs w:val="21"/>
        </w:rPr>
        <w:t xml:space="preserve"> kemur fram að frá árinu 1994 til ársloka 2016 </w:t>
      </w:r>
      <w:r>
        <w:rPr>
          <w:rFonts w:eastAsiaTheme="minorHAnsi"/>
          <w:color w:val="000000"/>
          <w:szCs w:val="21"/>
        </w:rPr>
        <w:t>hafi</w:t>
      </w:r>
      <w:r w:rsidRPr="00822314">
        <w:rPr>
          <w:rFonts w:eastAsiaTheme="minorHAnsi"/>
          <w:color w:val="000000"/>
          <w:szCs w:val="21"/>
        </w:rPr>
        <w:t xml:space="preserve"> Ísland </w:t>
      </w:r>
      <w:r>
        <w:rPr>
          <w:rFonts w:eastAsiaTheme="minorHAnsi"/>
          <w:color w:val="000000"/>
          <w:szCs w:val="21"/>
        </w:rPr>
        <w:t xml:space="preserve">tekið </w:t>
      </w:r>
      <w:r w:rsidRPr="00822314">
        <w:rPr>
          <w:rFonts w:eastAsiaTheme="minorHAnsi"/>
          <w:color w:val="000000"/>
          <w:szCs w:val="21"/>
        </w:rPr>
        <w:t xml:space="preserve">upp 13,4% þeirra gerða sem ESB samþykkti á sama tímabili. </w:t>
      </w:r>
    </w:p>
    <w:p w14:paraId="1CF83634" w14:textId="1C8DD694" w:rsidR="006243DD" w:rsidRDefault="006243DD" w:rsidP="006243DD">
      <w:pPr>
        <w:rPr>
          <w:szCs w:val="21"/>
        </w:rPr>
      </w:pPr>
      <w:r w:rsidRPr="00822314">
        <w:rPr>
          <w:szCs w:val="21"/>
        </w:rPr>
        <w:t xml:space="preserve">Samkvæmt </w:t>
      </w:r>
      <w:proofErr w:type="spellStart"/>
      <w:r w:rsidRPr="00822314">
        <w:rPr>
          <w:szCs w:val="21"/>
        </w:rPr>
        <w:t>EES-samningnum</w:t>
      </w:r>
      <w:proofErr w:type="spellEnd"/>
      <w:r w:rsidRPr="00822314">
        <w:rPr>
          <w:szCs w:val="21"/>
        </w:rPr>
        <w:t xml:space="preserve"> skuldbinda ákvarðanir sameiginlegu </w:t>
      </w:r>
      <w:proofErr w:type="spellStart"/>
      <w:r w:rsidRPr="00822314">
        <w:rPr>
          <w:szCs w:val="21"/>
        </w:rPr>
        <w:t>EES-nefndarinnar</w:t>
      </w:r>
      <w:proofErr w:type="spellEnd"/>
      <w:r w:rsidRPr="00822314">
        <w:rPr>
          <w:szCs w:val="21"/>
        </w:rPr>
        <w:t xml:space="preserve"> að</w:t>
      </w:r>
      <w:r w:rsidRPr="00822314">
        <w:rPr>
          <w:szCs w:val="21"/>
        </w:rPr>
        <w:softHyphen/>
        <w:t>ildar</w:t>
      </w:r>
      <w:r w:rsidRPr="00822314">
        <w:rPr>
          <w:szCs w:val="21"/>
        </w:rPr>
        <w:softHyphen/>
        <w:t xml:space="preserve">ríkin að þjóðarétti um leið og </w:t>
      </w:r>
      <w:proofErr w:type="spellStart"/>
      <w:r w:rsidRPr="00822314">
        <w:rPr>
          <w:szCs w:val="21"/>
        </w:rPr>
        <w:t>þær</w:t>
      </w:r>
      <w:proofErr w:type="spellEnd"/>
      <w:r w:rsidRPr="00822314">
        <w:rPr>
          <w:szCs w:val="21"/>
        </w:rPr>
        <w:t xml:space="preserve"> hafa verið teknar nema eitthvert þeirra beiti heimild skv. 103. gr. </w:t>
      </w:r>
      <w:proofErr w:type="spellStart"/>
      <w:r w:rsidRPr="00822314">
        <w:rPr>
          <w:szCs w:val="21"/>
        </w:rPr>
        <w:t>EES-samningsins</w:t>
      </w:r>
      <w:proofErr w:type="spellEnd"/>
      <w:r w:rsidRPr="00822314">
        <w:rPr>
          <w:szCs w:val="21"/>
        </w:rPr>
        <w:t xml:space="preserve"> til að setja fyrirvara um að ákvörðun geti ekki orðið bindandi strax vegna stjórn</w:t>
      </w:r>
      <w:r w:rsidRPr="00822314">
        <w:rPr>
          <w:szCs w:val="21"/>
        </w:rPr>
        <w:softHyphen/>
        <w:t xml:space="preserve">skipulegra skilyrða heima fyrir. Viðkomandi aðildarríki hefur þá sex mánaða frest frá töku ákvörðunar í sameiginlegu nefndinni til að aflétta fyrirvaranum. </w:t>
      </w:r>
    </w:p>
    <w:p w14:paraId="79442355" w14:textId="703542AF" w:rsidR="006243DD" w:rsidRPr="00822314" w:rsidRDefault="006243DD" w:rsidP="006243DD">
      <w:pPr>
        <w:rPr>
          <w:szCs w:val="21"/>
        </w:rPr>
      </w:pPr>
      <w:r>
        <w:rPr>
          <w:szCs w:val="21"/>
        </w:rPr>
        <w:t>A</w:t>
      </w:r>
      <w:r w:rsidRPr="00822314">
        <w:rPr>
          <w:szCs w:val="21"/>
        </w:rPr>
        <w:t xml:space="preserve">lmennt </w:t>
      </w:r>
      <w:r>
        <w:rPr>
          <w:szCs w:val="21"/>
        </w:rPr>
        <w:t xml:space="preserve">hafa íslensk stjórnvöld </w:t>
      </w:r>
      <w:r w:rsidRPr="00822314">
        <w:rPr>
          <w:szCs w:val="21"/>
        </w:rPr>
        <w:t xml:space="preserve">einungis </w:t>
      </w:r>
      <w:r>
        <w:rPr>
          <w:szCs w:val="21"/>
        </w:rPr>
        <w:t xml:space="preserve">gert stjórnskipulegan fyrirvara </w:t>
      </w:r>
      <w:r w:rsidRPr="00822314">
        <w:rPr>
          <w:szCs w:val="21"/>
        </w:rPr>
        <w:t xml:space="preserve">þegar innleiðing ákvörðunar kallar á lagabreytingar hér landi en í því tilviki leiðir af 21. gr. </w:t>
      </w:r>
      <w:proofErr w:type="spellStart"/>
      <w:r w:rsidRPr="00822314">
        <w:rPr>
          <w:szCs w:val="21"/>
        </w:rPr>
        <w:t>stjórnar</w:t>
      </w:r>
      <w:r w:rsidRPr="00822314">
        <w:rPr>
          <w:szCs w:val="21"/>
        </w:rPr>
        <w:softHyphen/>
        <w:t>skrár</w:t>
      </w:r>
      <w:r w:rsidRPr="00822314">
        <w:rPr>
          <w:szCs w:val="21"/>
        </w:rPr>
        <w:softHyphen/>
        <w:t>innar</w:t>
      </w:r>
      <w:proofErr w:type="spellEnd"/>
      <w:r w:rsidRPr="00822314">
        <w:rPr>
          <w:szCs w:val="21"/>
        </w:rPr>
        <w:t xml:space="preserve"> að afla ber samþykkis Alþingis áður en ákvörðun er staðfest. Slíkt samþykki getur Alþingi </w:t>
      </w:r>
      <w:r w:rsidRPr="00822314">
        <w:rPr>
          <w:szCs w:val="21"/>
        </w:rPr>
        <w:lastRenderedPageBreak/>
        <w:t>alltaf veitt samhliða viðeigandi lagabreytingu en einnig hefur tíðkast að heimila stjórn</w:t>
      </w:r>
      <w:r w:rsidRPr="00822314">
        <w:rPr>
          <w:szCs w:val="21"/>
        </w:rPr>
        <w:softHyphen/>
        <w:t xml:space="preserve">völdum að skuldbinda sig að þjóðarétti með þingsályktun áður en landsréttinum er með lögum breytt til samræmis við viðkomandi ákvörðun. </w:t>
      </w:r>
    </w:p>
    <w:p w14:paraId="460C67CB" w14:textId="600F5FB4" w:rsidR="006243DD" w:rsidRDefault="006243DD" w:rsidP="006243DD">
      <w:pPr>
        <w:rPr>
          <w:szCs w:val="21"/>
        </w:rPr>
      </w:pPr>
      <w:proofErr w:type="spellStart"/>
      <w:r w:rsidRPr="00822314">
        <w:rPr>
          <w:szCs w:val="21"/>
        </w:rPr>
        <w:t>Áðurnefnd</w:t>
      </w:r>
      <w:proofErr w:type="spellEnd"/>
      <w:r w:rsidRPr="00822314">
        <w:rPr>
          <w:szCs w:val="21"/>
        </w:rPr>
        <w:t xml:space="preserve"> 21. gr. stjórnarskrárinnar tekur til gerðar þjóðréttarsamninga en hún á augljós</w:t>
      </w:r>
      <w:r w:rsidR="009909C2">
        <w:rPr>
          <w:szCs w:val="21"/>
        </w:rPr>
        <w:softHyphen/>
      </w:r>
      <w:r w:rsidRPr="00822314">
        <w:rPr>
          <w:szCs w:val="21"/>
        </w:rPr>
        <w:t xml:space="preserve">lega einnig við um þau tilvik þegar breytingar eru gerðar á </w:t>
      </w:r>
      <w:proofErr w:type="spellStart"/>
      <w:r w:rsidRPr="00822314">
        <w:rPr>
          <w:szCs w:val="21"/>
        </w:rPr>
        <w:t>slíkum</w:t>
      </w:r>
      <w:proofErr w:type="spellEnd"/>
      <w:r w:rsidRPr="00822314">
        <w:rPr>
          <w:szCs w:val="21"/>
        </w:rPr>
        <w:t xml:space="preserve"> samningum. Samkvæmt </w:t>
      </w:r>
      <w:proofErr w:type="spellStart"/>
      <w:r w:rsidRPr="00822314">
        <w:rPr>
          <w:szCs w:val="21"/>
        </w:rPr>
        <w:t>ákvæð</w:t>
      </w:r>
      <w:r w:rsidR="009909C2">
        <w:rPr>
          <w:szCs w:val="21"/>
        </w:rPr>
        <w:softHyphen/>
      </w:r>
      <w:r w:rsidRPr="00822314">
        <w:rPr>
          <w:szCs w:val="21"/>
        </w:rPr>
        <w:t>inu</w:t>
      </w:r>
      <w:proofErr w:type="spellEnd"/>
      <w:r w:rsidRPr="00822314">
        <w:rPr>
          <w:szCs w:val="21"/>
        </w:rPr>
        <w:t xml:space="preserve"> er samþykki Alþingis áskilið ef samningur felur í sér afsal eða kvaðir á landi eða land</w:t>
      </w:r>
      <w:r w:rsidR="009909C2">
        <w:rPr>
          <w:szCs w:val="21"/>
        </w:rPr>
        <w:softHyphen/>
      </w:r>
      <w:r w:rsidRPr="00822314">
        <w:rPr>
          <w:szCs w:val="21"/>
        </w:rPr>
        <w:t xml:space="preserve">helgi eða ef hann horfir til breytinga á stjórnarhögum ríkisins. Síðarnefnda atriðið hefur verið túlkað svo að samþykki Alþingis </w:t>
      </w:r>
      <w:proofErr w:type="spellStart"/>
      <w:r w:rsidRPr="00822314">
        <w:rPr>
          <w:szCs w:val="21"/>
        </w:rPr>
        <w:t>sé</w:t>
      </w:r>
      <w:proofErr w:type="spellEnd"/>
      <w:r w:rsidRPr="00822314">
        <w:rPr>
          <w:szCs w:val="21"/>
        </w:rPr>
        <w:t xml:space="preserve"> áskilið ef gerð þjóðréttarsamnings kallar á </w:t>
      </w:r>
      <w:proofErr w:type="spellStart"/>
      <w:r w:rsidRPr="00822314">
        <w:rPr>
          <w:szCs w:val="21"/>
        </w:rPr>
        <w:t>lagabreyt</w:t>
      </w:r>
      <w:r w:rsidR="005E61BC">
        <w:rPr>
          <w:szCs w:val="21"/>
        </w:rPr>
        <w:softHyphen/>
      </w:r>
      <w:r w:rsidRPr="00822314">
        <w:rPr>
          <w:szCs w:val="21"/>
        </w:rPr>
        <w:t>ingar</w:t>
      </w:r>
      <w:proofErr w:type="spellEnd"/>
      <w:r w:rsidRPr="00822314">
        <w:rPr>
          <w:szCs w:val="21"/>
        </w:rPr>
        <w:t xml:space="preserve"> hér á landi.</w:t>
      </w:r>
    </w:p>
    <w:p w14:paraId="48D760F2" w14:textId="464C2F81" w:rsidR="005D7FCE" w:rsidRPr="00822314" w:rsidRDefault="005D7FCE" w:rsidP="00CA69F0">
      <w:pPr>
        <w:rPr>
          <w:szCs w:val="21"/>
        </w:rPr>
      </w:pPr>
      <w:r w:rsidRPr="00822314">
        <w:rPr>
          <w:szCs w:val="21"/>
        </w:rPr>
        <w:t xml:space="preserve">Umrædd ákvörðun sameiginlegu </w:t>
      </w:r>
      <w:proofErr w:type="spellStart"/>
      <w:r w:rsidRPr="00822314">
        <w:rPr>
          <w:szCs w:val="21"/>
        </w:rPr>
        <w:t>EES-nefndarinnar</w:t>
      </w:r>
      <w:proofErr w:type="spellEnd"/>
      <w:r w:rsidRPr="00822314">
        <w:rPr>
          <w:szCs w:val="21"/>
        </w:rPr>
        <w:t xml:space="preserve"> felur í sér breytingu á </w:t>
      </w:r>
      <w:proofErr w:type="spellStart"/>
      <w:r w:rsidRPr="00822314">
        <w:rPr>
          <w:szCs w:val="21"/>
        </w:rPr>
        <w:t>EES-samn</w:t>
      </w:r>
      <w:r>
        <w:rPr>
          <w:szCs w:val="21"/>
        </w:rPr>
        <w:softHyphen/>
      </w:r>
      <w:r w:rsidRPr="00822314">
        <w:rPr>
          <w:szCs w:val="21"/>
        </w:rPr>
        <w:t>ingn</w:t>
      </w:r>
      <w:r>
        <w:rPr>
          <w:szCs w:val="21"/>
        </w:rPr>
        <w:softHyphen/>
      </w:r>
      <w:r w:rsidRPr="00822314">
        <w:rPr>
          <w:szCs w:val="21"/>
        </w:rPr>
        <w:t>um</w:t>
      </w:r>
      <w:proofErr w:type="spellEnd"/>
      <w:r w:rsidRPr="00822314">
        <w:rPr>
          <w:szCs w:val="21"/>
        </w:rPr>
        <w:t xml:space="preserve"> en þar sem hún kallar á lagabreytingar hér á landi var hún tekin með stjórnskipulegum fyrir</w:t>
      </w:r>
      <w:r>
        <w:rPr>
          <w:szCs w:val="21"/>
        </w:rPr>
        <w:softHyphen/>
      </w:r>
      <w:r w:rsidRPr="00822314">
        <w:rPr>
          <w:szCs w:val="21"/>
        </w:rPr>
        <w:t xml:space="preserve">vara. Í samræmi við það sem að framan segir er óskað eftir samþykki Alþingis fyrir þeirri </w:t>
      </w:r>
      <w:proofErr w:type="spellStart"/>
      <w:r w:rsidRPr="00822314">
        <w:rPr>
          <w:szCs w:val="21"/>
        </w:rPr>
        <w:t>breyt</w:t>
      </w:r>
      <w:r>
        <w:rPr>
          <w:szCs w:val="21"/>
        </w:rPr>
        <w:softHyphen/>
      </w:r>
      <w:r w:rsidRPr="00822314">
        <w:rPr>
          <w:szCs w:val="21"/>
        </w:rPr>
        <w:t>ingu</w:t>
      </w:r>
      <w:proofErr w:type="spellEnd"/>
      <w:r w:rsidRPr="00822314">
        <w:rPr>
          <w:szCs w:val="21"/>
        </w:rPr>
        <w:t xml:space="preserve"> á </w:t>
      </w:r>
      <w:proofErr w:type="spellStart"/>
      <w:r w:rsidRPr="00822314">
        <w:rPr>
          <w:szCs w:val="21"/>
        </w:rPr>
        <w:t>EES-samningnum</w:t>
      </w:r>
      <w:proofErr w:type="spellEnd"/>
      <w:r w:rsidRPr="00822314">
        <w:rPr>
          <w:szCs w:val="21"/>
        </w:rPr>
        <w:t xml:space="preserve"> sem í ákvörðuninni felst.</w:t>
      </w:r>
    </w:p>
    <w:p w14:paraId="69CDF0A5" w14:textId="77777777" w:rsidR="006243DD" w:rsidRPr="0044083B" w:rsidRDefault="006243DD" w:rsidP="006243DD">
      <w:pPr>
        <w:pStyle w:val="Millifyrirsgn1"/>
        <w:rPr>
          <w:szCs w:val="21"/>
        </w:rPr>
      </w:pPr>
    </w:p>
    <w:p w14:paraId="405CB9BB" w14:textId="2CCCF7B6" w:rsidR="00371A83" w:rsidRDefault="006243DD" w:rsidP="00D0299A">
      <w:pPr>
        <w:pStyle w:val="Millifyrirsgn1"/>
        <w:rPr>
          <w:szCs w:val="21"/>
        </w:rPr>
      </w:pPr>
      <w:r w:rsidRPr="00C117FB">
        <w:rPr>
          <w:bCs/>
          <w:szCs w:val="21"/>
        </w:rPr>
        <w:t xml:space="preserve">3. </w:t>
      </w:r>
      <w:r w:rsidR="00371A83" w:rsidRPr="00371A83">
        <w:t>Tilskipun Evrópuþingsins og ráðsins (ESB) 2017/828 frá 17. maí 2017 um breytingu á tilskipun 2007/36/EB að því er varðar hvatningu til þátttöku hluthafa til lengri tíma.</w:t>
      </w:r>
    </w:p>
    <w:p w14:paraId="7C4BDE53" w14:textId="0128EC77" w:rsidR="00872400" w:rsidRDefault="00371A83" w:rsidP="00BB619A">
      <w:r>
        <w:t xml:space="preserve">Í maí 2017 var gefin </w:t>
      </w:r>
      <w:proofErr w:type="spellStart"/>
      <w:r>
        <w:t>út</w:t>
      </w:r>
      <w:proofErr w:type="spellEnd"/>
      <w:r>
        <w:t xml:space="preserve"> tilskipun Evrópuþingsins og ráðsins (ESB) 2017/828 um breytingu á tilskipun 2007/36/EB að því er varðar hvatningu til þátttöku hluthafa til lengri tíma. Efni </w:t>
      </w:r>
      <w:proofErr w:type="spellStart"/>
      <w:r>
        <w:t>gerð</w:t>
      </w:r>
      <w:r w:rsidR="008811E4">
        <w:softHyphen/>
      </w:r>
      <w:r>
        <w:t>ar</w:t>
      </w:r>
      <w:r w:rsidR="008811E4">
        <w:softHyphen/>
      </w:r>
      <w:r>
        <w:t>innar</w:t>
      </w:r>
      <w:proofErr w:type="spellEnd"/>
      <w:r>
        <w:t xml:space="preserve"> tekur til félaga þar sem hlutir hafa verið teknir til viðskipta á skipulegum verð</w:t>
      </w:r>
      <w:r w:rsidR="008811E4">
        <w:softHyphen/>
      </w:r>
      <w:r>
        <w:t>bréfa</w:t>
      </w:r>
      <w:r w:rsidR="008811E4">
        <w:softHyphen/>
      </w:r>
      <w:r>
        <w:t xml:space="preserve">markaði og </w:t>
      </w:r>
      <w:r w:rsidR="00821820">
        <w:t xml:space="preserve">snýr </w:t>
      </w:r>
      <w:r>
        <w:t>að því að félagið viti deili á hluthöfum, hlutverki milliliða í sendingu upplýsinga frá félagi til hluthafa</w:t>
      </w:r>
      <w:r w:rsidR="00834FBC">
        <w:t>, launakjarastefnu félags</w:t>
      </w:r>
      <w:r>
        <w:t xml:space="preserve"> o.fl.</w:t>
      </w:r>
    </w:p>
    <w:p w14:paraId="16F03A5C" w14:textId="77777777" w:rsidR="00371A83" w:rsidRDefault="00371A83" w:rsidP="00BB619A">
      <w:pPr>
        <w:rPr>
          <w:rFonts w:eastAsia="Times New Roman"/>
        </w:rPr>
      </w:pPr>
      <w:r>
        <w:t>Með tilskipun (ESB) 2017/828 eru settar reglur í tengslum við nýtingu tiltekinna réttinda hluthafa sem fylgja atkvæðisrétti í tengslum við aðalfundi félaga á markaði.</w:t>
      </w:r>
    </w:p>
    <w:p w14:paraId="18FB9AAA" w14:textId="73C7527C" w:rsidR="00371A83" w:rsidRDefault="00371A83" w:rsidP="00BB619A">
      <w:r>
        <w:t xml:space="preserve">Hlutabréf skráðra félaga eru oft haldin í flóknum milliliðakeðjum sem gera nýtingu réttindi hluthafa í </w:t>
      </w:r>
      <w:proofErr w:type="spellStart"/>
      <w:r>
        <w:t>slíkum</w:t>
      </w:r>
      <w:proofErr w:type="spellEnd"/>
      <w:r>
        <w:t xml:space="preserve"> félögum flóknari. Erfitt getur verið fyrir félög að vita deili á hluthöfum </w:t>
      </w:r>
      <w:proofErr w:type="spellStart"/>
      <w:r>
        <w:t>félags</w:t>
      </w:r>
      <w:r w:rsidR="008811E4">
        <w:softHyphen/>
      </w:r>
      <w:r>
        <w:t>ins</w:t>
      </w:r>
      <w:proofErr w:type="spellEnd"/>
      <w:r>
        <w:t xml:space="preserve"> en auðkenning hluthafa er forsenda beinna samskipta milli hluthafa og félags og </w:t>
      </w:r>
      <w:proofErr w:type="spellStart"/>
      <w:r>
        <w:t>nauð</w:t>
      </w:r>
      <w:r w:rsidR="008811E4">
        <w:softHyphen/>
      </w:r>
      <w:r>
        <w:t>synlegur</w:t>
      </w:r>
      <w:proofErr w:type="spellEnd"/>
      <w:r>
        <w:t xml:space="preserve"> þáttur til að auðvelda hluthafa að nýta sér réttindi sín í tengslum við aðalfund. Þetta á sérstaklega við </w:t>
      </w:r>
      <w:r w:rsidR="000E6646">
        <w:t>í aðstæðum sem ná yfir landamæri</w:t>
      </w:r>
      <w:r>
        <w:t xml:space="preserve"> og þegar notaðir eru rafrænar aðferðir.</w:t>
      </w:r>
    </w:p>
    <w:p w14:paraId="07692AED" w14:textId="636EB2CC" w:rsidR="00371A83" w:rsidRDefault="00371A83" w:rsidP="00BB619A">
      <w:r>
        <w:t xml:space="preserve">Tilskipunin inniheldur reglur um rétt skráðra félaga til að staðfesta deili á hluthöfum </w:t>
      </w:r>
      <w:proofErr w:type="spellStart"/>
      <w:r>
        <w:t>félags</w:t>
      </w:r>
      <w:r w:rsidR="008811E4">
        <w:softHyphen/>
      </w:r>
      <w:r>
        <w:t>ins</w:t>
      </w:r>
      <w:proofErr w:type="spellEnd"/>
      <w:r>
        <w:t xml:space="preserve"> til þess að geta átt samskipti við þá með beinum hætti og auðvelda þannig hluthöfum að nýta réttindi sín í félaginu.</w:t>
      </w:r>
      <w:r w:rsidR="00821820">
        <w:t xml:space="preserve"> </w:t>
      </w:r>
      <w:r>
        <w:t>Tilskipunin inniheldur reglur um milliliði milli félags og hluthafa</w:t>
      </w:r>
      <w:r w:rsidR="008811E4">
        <w:t>,</w:t>
      </w:r>
      <w:r>
        <w:t xml:space="preserve"> m</w:t>
      </w:r>
      <w:r w:rsidR="008811E4">
        <w:t>eðal annars</w:t>
      </w:r>
      <w:r>
        <w:t xml:space="preserve"> um gagnsæi kostnaðar</w:t>
      </w:r>
      <w:r w:rsidR="008811E4">
        <w:t>,</w:t>
      </w:r>
      <w:r>
        <w:t xml:space="preserve"> en flókin keðja milliliða getur gert hluthöfum erfiðara fyrir að nýta réttindi sín og hindrað þátttöku þeirra. Tilskipunin inniheldur reglur um gagnsæi meðal stofnanafjárfesta, eignarstýringaraðila og umboðsráðgjafa.</w:t>
      </w:r>
      <w:r w:rsidR="00821820">
        <w:t xml:space="preserve"> </w:t>
      </w:r>
      <w:r>
        <w:t>Tilskipunin inni</w:t>
      </w:r>
      <w:r w:rsidR="008811E4">
        <w:softHyphen/>
      </w:r>
      <w:r>
        <w:t>heldur reglur um að skráð félag skuli setja sér launakjarastefnu fyrir stjórnendur og að hlut</w:t>
      </w:r>
      <w:r w:rsidR="008811E4">
        <w:softHyphen/>
      </w:r>
      <w:r>
        <w:t>hafar hafi rétt til að greiða atkvæði um stefnuna á hluthafafundi og hafa þannig áhrif á launa</w:t>
      </w:r>
      <w:r w:rsidR="008811E4">
        <w:softHyphen/>
      </w:r>
      <w:r>
        <w:t>kj</w:t>
      </w:r>
      <w:r w:rsidR="0025598E">
        <w:t>ara</w:t>
      </w:r>
      <w:r w:rsidR="008811E4">
        <w:softHyphen/>
      </w:r>
      <w:r w:rsidR="0025598E">
        <w:t>stefnu félagsins</w:t>
      </w:r>
      <w:r>
        <w:t>.</w:t>
      </w:r>
      <w:r w:rsidR="00834FBC">
        <w:t xml:space="preserve"> </w:t>
      </w:r>
      <w:r>
        <w:t>Tilskipunin inniheldur reglur um gagnsæi þýðingarmikilla viðskipta skráðs félags við tengda aðila</w:t>
      </w:r>
      <w:r w:rsidR="0025598E">
        <w:t>.</w:t>
      </w:r>
    </w:p>
    <w:p w14:paraId="68A07E4B" w14:textId="77777777" w:rsidR="00371A83" w:rsidRDefault="00371A83" w:rsidP="00BB619A">
      <w:r>
        <w:t>Með tilskipun (ESB) 2017/828 voru gerðar breytingar á tilskipun 2007/36/EB sem innleidd var í lög um hlutafélög, nr. 2/1995. Tilskipun (ESB) 2017/828 krefst lagabreytinga hér á landi.</w:t>
      </w:r>
    </w:p>
    <w:p w14:paraId="1871F3BF" w14:textId="77777777" w:rsidR="00371A83" w:rsidRPr="00426615" w:rsidRDefault="00371A83" w:rsidP="0087301B">
      <w:pPr>
        <w:rPr>
          <w:szCs w:val="21"/>
        </w:rPr>
      </w:pPr>
    </w:p>
    <w:p w14:paraId="3D5226E5" w14:textId="532B156D" w:rsidR="006243DD" w:rsidRDefault="006243DD" w:rsidP="00D0299A">
      <w:pPr>
        <w:pStyle w:val="Millifyrirsgn1"/>
        <w:keepNext/>
        <w:rPr>
          <w:szCs w:val="21"/>
        </w:rPr>
      </w:pPr>
      <w:r>
        <w:rPr>
          <w:szCs w:val="21"/>
        </w:rPr>
        <w:t>4</w:t>
      </w:r>
      <w:r w:rsidRPr="00C82A7F">
        <w:rPr>
          <w:szCs w:val="21"/>
        </w:rPr>
        <w:t>. Lagabreytingar og hugsanleg áhrif hér á landi.</w:t>
      </w:r>
    </w:p>
    <w:p w14:paraId="2C169C64" w14:textId="28CE3785" w:rsidR="0087301B" w:rsidRDefault="00834FBC" w:rsidP="00CA69F0">
      <w:r w:rsidRPr="00834FBC">
        <w:t>Eins og fyrr segir krefst tilskipun (ESB) 2017/828 lagabreytinga hér á landi og þarf m</w:t>
      </w:r>
      <w:r w:rsidR="008811E4">
        <w:t>eðal annars</w:t>
      </w:r>
      <w:r w:rsidRPr="00834FBC">
        <w:t xml:space="preserve"> að gera breytingu á lögum um hlutafélög, nr. 2/1995, en nánari útfærsla er í vinnslu </w:t>
      </w:r>
      <w:proofErr w:type="spellStart"/>
      <w:r w:rsidRPr="00834FBC">
        <w:t>hjá</w:t>
      </w:r>
      <w:proofErr w:type="spellEnd"/>
      <w:r w:rsidRPr="00834FBC">
        <w:t xml:space="preserve"> atvinnu</w:t>
      </w:r>
      <w:r w:rsidR="008811E4">
        <w:softHyphen/>
      </w:r>
      <w:r w:rsidRPr="00834FBC">
        <w:t>vega- og nýsköpunarráðuneyti</w:t>
      </w:r>
      <w:r w:rsidR="005D7FCE">
        <w:rPr>
          <w:rFonts w:ascii="Arial" w:hAnsi="Arial" w:cs="Arial"/>
          <w:color w:val="000000"/>
          <w:sz w:val="25"/>
          <w:szCs w:val="25"/>
          <w:shd w:val="clear" w:color="auto" w:fill="F2F2F2"/>
        </w:rPr>
        <w:t>.</w:t>
      </w:r>
      <w:r w:rsidR="00145D78">
        <w:rPr>
          <w:rFonts w:ascii="Arial" w:hAnsi="Arial" w:cs="Arial"/>
          <w:color w:val="000000"/>
          <w:sz w:val="25"/>
          <w:szCs w:val="25"/>
          <w:shd w:val="clear" w:color="auto" w:fill="F2F2F2"/>
        </w:rPr>
        <w:t xml:space="preserve">  </w:t>
      </w:r>
    </w:p>
    <w:p w14:paraId="605D9DEB" w14:textId="29C2E198" w:rsidR="006243DD" w:rsidRPr="00C82A7F" w:rsidRDefault="006243DD" w:rsidP="00E63190">
      <w:pPr>
        <w:pStyle w:val="Millifyrirsgn1"/>
        <w:keepNext/>
        <w:rPr>
          <w:szCs w:val="21"/>
        </w:rPr>
      </w:pPr>
      <w:r>
        <w:rPr>
          <w:szCs w:val="21"/>
        </w:rPr>
        <w:lastRenderedPageBreak/>
        <w:t>5</w:t>
      </w:r>
      <w:r w:rsidRPr="00C82A7F">
        <w:rPr>
          <w:szCs w:val="21"/>
        </w:rPr>
        <w:t>. Samráð við Alþingi.</w:t>
      </w:r>
    </w:p>
    <w:p w14:paraId="07801B09" w14:textId="4644C341" w:rsidR="006243DD" w:rsidRPr="00C44B62" w:rsidRDefault="006243DD" w:rsidP="00E63190">
      <w:pPr>
        <w:keepNext/>
        <w:rPr>
          <w:szCs w:val="21"/>
        </w:rPr>
      </w:pPr>
      <w:r w:rsidRPr="00C82A7F">
        <w:rPr>
          <w:szCs w:val="21"/>
        </w:rPr>
        <w:t xml:space="preserve">Í reglum Alþingis um þinglega meðferð </w:t>
      </w:r>
      <w:proofErr w:type="spellStart"/>
      <w:r w:rsidRPr="00C82A7F">
        <w:rPr>
          <w:szCs w:val="21"/>
        </w:rPr>
        <w:t>EES-mála</w:t>
      </w:r>
      <w:proofErr w:type="spellEnd"/>
      <w:r w:rsidRPr="00C82A7F">
        <w:rPr>
          <w:szCs w:val="21"/>
        </w:rPr>
        <w:t xml:space="preserve"> er kveðið á um að </w:t>
      </w:r>
      <w:proofErr w:type="spellStart"/>
      <w:r w:rsidRPr="00C82A7F">
        <w:rPr>
          <w:szCs w:val="21"/>
        </w:rPr>
        <w:t>ESB-gerðir</w:t>
      </w:r>
      <w:proofErr w:type="spellEnd"/>
      <w:r w:rsidRPr="00C82A7F">
        <w:rPr>
          <w:szCs w:val="21"/>
        </w:rPr>
        <w:t>, sem fyrir</w:t>
      </w:r>
      <w:r w:rsidR="009909C2">
        <w:rPr>
          <w:szCs w:val="21"/>
        </w:rPr>
        <w:softHyphen/>
      </w:r>
      <w:r w:rsidRPr="00C82A7F">
        <w:rPr>
          <w:szCs w:val="21"/>
        </w:rPr>
        <w:t xml:space="preserve">hugað er að fella inn í </w:t>
      </w:r>
      <w:proofErr w:type="spellStart"/>
      <w:r w:rsidRPr="00C82A7F">
        <w:rPr>
          <w:szCs w:val="21"/>
        </w:rPr>
        <w:t>EES-samninginn</w:t>
      </w:r>
      <w:proofErr w:type="spellEnd"/>
      <w:r w:rsidRPr="00C82A7F">
        <w:rPr>
          <w:szCs w:val="21"/>
        </w:rPr>
        <w:t xml:space="preserve"> en taka</w:t>
      </w:r>
      <w:r>
        <w:rPr>
          <w:szCs w:val="21"/>
        </w:rPr>
        <w:t xml:space="preserve"> ekki</w:t>
      </w:r>
      <w:r w:rsidRPr="00C82A7F">
        <w:rPr>
          <w:szCs w:val="21"/>
        </w:rPr>
        <w:t xml:space="preserve"> gildi á Íslandi nema að undangengnu samþykki Alþingis, skuli sendar utanríkismálanefnd til umfjöllunar. </w:t>
      </w:r>
      <w:r w:rsidR="00DB43A6">
        <w:t>Tilskipun</w:t>
      </w:r>
      <w:r>
        <w:t xml:space="preserve"> </w:t>
      </w:r>
      <w:proofErr w:type="spellStart"/>
      <w:r w:rsidR="00734EF4">
        <w:t>Evrópu</w:t>
      </w:r>
      <w:r w:rsidR="009909C2">
        <w:softHyphen/>
      </w:r>
      <w:r w:rsidR="00734EF4">
        <w:t>þings</w:t>
      </w:r>
      <w:r w:rsidR="00424DAC">
        <w:softHyphen/>
      </w:r>
      <w:r w:rsidR="00734EF4">
        <w:t>ins</w:t>
      </w:r>
      <w:proofErr w:type="spellEnd"/>
      <w:r w:rsidR="00734EF4">
        <w:t xml:space="preserve"> og ráðsins (ESB) </w:t>
      </w:r>
      <w:r w:rsidR="0087301B">
        <w:t>201</w:t>
      </w:r>
      <w:r w:rsidR="005D7FCE">
        <w:t>7</w:t>
      </w:r>
      <w:r w:rsidR="009F7BFD">
        <w:t>/</w:t>
      </w:r>
      <w:r w:rsidR="00DB43A6">
        <w:t xml:space="preserve">828 </w:t>
      </w:r>
      <w:r w:rsidR="00CB7A16">
        <w:rPr>
          <w:szCs w:val="21"/>
        </w:rPr>
        <w:t xml:space="preserve">var send utanríkismálanefnd til samræmis við </w:t>
      </w:r>
      <w:proofErr w:type="spellStart"/>
      <w:r w:rsidR="00CB7A16">
        <w:rPr>
          <w:szCs w:val="21"/>
        </w:rPr>
        <w:t>framan</w:t>
      </w:r>
      <w:r w:rsidR="009909C2">
        <w:rPr>
          <w:szCs w:val="21"/>
        </w:rPr>
        <w:softHyphen/>
      </w:r>
      <w:r w:rsidR="00CB7A16">
        <w:rPr>
          <w:szCs w:val="21"/>
        </w:rPr>
        <w:t>greind</w:t>
      </w:r>
      <w:r w:rsidR="009909C2">
        <w:rPr>
          <w:szCs w:val="21"/>
        </w:rPr>
        <w:softHyphen/>
      </w:r>
      <w:r w:rsidR="00CB7A16">
        <w:rPr>
          <w:szCs w:val="21"/>
        </w:rPr>
        <w:t>ar</w:t>
      </w:r>
      <w:proofErr w:type="spellEnd"/>
      <w:r w:rsidR="00CB7A16">
        <w:rPr>
          <w:szCs w:val="21"/>
        </w:rPr>
        <w:t xml:space="preserve"> reglur.</w:t>
      </w:r>
      <w:r w:rsidR="00CB7A16">
        <w:t xml:space="preserve"> Í</w:t>
      </w:r>
      <w:r w:rsidR="00BF7846">
        <w:t xml:space="preserve"> bréfi frá utanríkismálanefnd Alþingis</w:t>
      </w:r>
      <w:r w:rsidR="00424DAC" w:rsidRPr="00B252B3">
        <w:t>,</w:t>
      </w:r>
      <w:r w:rsidRPr="00B252B3">
        <w:rPr>
          <w:szCs w:val="21"/>
        </w:rPr>
        <w:t xml:space="preserve"> </w:t>
      </w:r>
      <w:r w:rsidR="00915546">
        <w:rPr>
          <w:szCs w:val="21"/>
        </w:rPr>
        <w:t>27. maí 2020</w:t>
      </w:r>
      <w:r w:rsidRPr="00B252B3">
        <w:rPr>
          <w:szCs w:val="21"/>
        </w:rPr>
        <w:t>,</w:t>
      </w:r>
      <w:r>
        <w:rPr>
          <w:szCs w:val="21"/>
        </w:rPr>
        <w:t xml:space="preserve"> </w:t>
      </w:r>
      <w:r w:rsidR="00985D38">
        <w:rPr>
          <w:szCs w:val="21"/>
        </w:rPr>
        <w:t xml:space="preserve">kemur fram að </w:t>
      </w:r>
      <w:r w:rsidR="00734EF4">
        <w:rPr>
          <w:szCs w:val="21"/>
        </w:rPr>
        <w:t>nefndin</w:t>
      </w:r>
      <w:r w:rsidR="00BF7846">
        <w:rPr>
          <w:szCs w:val="21"/>
        </w:rPr>
        <w:t xml:space="preserve"> </w:t>
      </w:r>
      <w:r w:rsidR="00985D38">
        <w:rPr>
          <w:szCs w:val="21"/>
        </w:rPr>
        <w:t>hafi fjallað</w:t>
      </w:r>
      <w:r w:rsidR="00BF7846">
        <w:rPr>
          <w:szCs w:val="21"/>
        </w:rPr>
        <w:t xml:space="preserve"> </w:t>
      </w:r>
      <w:r w:rsidR="00985D38">
        <w:rPr>
          <w:szCs w:val="21"/>
        </w:rPr>
        <w:t>um gerðina og</w:t>
      </w:r>
      <w:r w:rsidR="00BF7846">
        <w:rPr>
          <w:szCs w:val="21"/>
        </w:rPr>
        <w:t xml:space="preserve"> </w:t>
      </w:r>
      <w:r w:rsidR="00985D38">
        <w:rPr>
          <w:szCs w:val="21"/>
        </w:rPr>
        <w:t>ekki</w:t>
      </w:r>
      <w:r w:rsidR="00CB7A16">
        <w:rPr>
          <w:szCs w:val="21"/>
        </w:rPr>
        <w:t xml:space="preserve"> </w:t>
      </w:r>
      <w:r w:rsidR="00424DAC">
        <w:rPr>
          <w:szCs w:val="21"/>
        </w:rPr>
        <w:t xml:space="preserve">hafi verið </w:t>
      </w:r>
      <w:r w:rsidR="00985D38">
        <w:rPr>
          <w:szCs w:val="21"/>
        </w:rPr>
        <w:t xml:space="preserve">gerðar athugasemdir við upptöku </w:t>
      </w:r>
      <w:r w:rsidR="007301BA">
        <w:rPr>
          <w:szCs w:val="21"/>
        </w:rPr>
        <w:t xml:space="preserve">hennar </w:t>
      </w:r>
      <w:r w:rsidR="00985D38">
        <w:rPr>
          <w:szCs w:val="21"/>
        </w:rPr>
        <w:t xml:space="preserve">í </w:t>
      </w:r>
      <w:proofErr w:type="spellStart"/>
      <w:r w:rsidR="00985D38">
        <w:rPr>
          <w:szCs w:val="21"/>
        </w:rPr>
        <w:t>EES-samninginn</w:t>
      </w:r>
      <w:proofErr w:type="spellEnd"/>
      <w:r w:rsidR="00BF7846">
        <w:rPr>
          <w:szCs w:val="21"/>
        </w:rPr>
        <w:t>.</w:t>
      </w:r>
    </w:p>
    <w:p w14:paraId="5899D30E" w14:textId="77777777" w:rsidR="006243DD" w:rsidRDefault="006243DD" w:rsidP="006243DD">
      <w:pPr>
        <w:ind w:firstLine="0"/>
        <w:rPr>
          <w:b/>
          <w:szCs w:val="21"/>
          <w:u w:val="single"/>
        </w:rPr>
      </w:pPr>
    </w:p>
    <w:p w14:paraId="37E939CF" w14:textId="1FDCC125" w:rsidR="006243DD" w:rsidRDefault="006243DD" w:rsidP="00713E19">
      <w:pPr>
        <w:ind w:firstLine="0"/>
        <w:jc w:val="left"/>
        <w:rPr>
          <w:b/>
          <w:szCs w:val="21"/>
          <w:u w:val="single"/>
        </w:rPr>
      </w:pPr>
      <w:r w:rsidRPr="00713E19">
        <w:rPr>
          <w:b/>
          <w:szCs w:val="21"/>
          <w:u w:val="single"/>
        </w:rPr>
        <w:t>Fylgiskjal I</w:t>
      </w:r>
      <w:r w:rsidR="0003361A">
        <w:rPr>
          <w:b/>
          <w:szCs w:val="21"/>
          <w:u w:val="single"/>
        </w:rPr>
        <w:t>.</w:t>
      </w:r>
    </w:p>
    <w:p w14:paraId="72EA5C97" w14:textId="77777777" w:rsidR="0003361A" w:rsidRPr="00713E19" w:rsidRDefault="0003361A" w:rsidP="00713E19">
      <w:pPr>
        <w:ind w:firstLine="0"/>
        <w:jc w:val="left"/>
        <w:rPr>
          <w:b/>
          <w:szCs w:val="21"/>
          <w:u w:val="single"/>
        </w:rPr>
      </w:pPr>
    </w:p>
    <w:p w14:paraId="4BDD4544" w14:textId="72FD792E" w:rsidR="00555C78" w:rsidRDefault="00EB7A92" w:rsidP="00713E19">
      <w:pPr>
        <w:ind w:firstLine="0"/>
        <w:jc w:val="center"/>
        <w:rPr>
          <w:b/>
          <w:bCs/>
        </w:rPr>
      </w:pPr>
      <w:r w:rsidRPr="00DB43A6">
        <w:rPr>
          <w:b/>
          <w:bCs/>
          <w:szCs w:val="21"/>
        </w:rPr>
        <w:t xml:space="preserve">Ákvörðun sameiginlegu </w:t>
      </w:r>
      <w:proofErr w:type="spellStart"/>
      <w:r w:rsidRPr="00DB43A6">
        <w:rPr>
          <w:b/>
          <w:bCs/>
          <w:szCs w:val="21"/>
        </w:rPr>
        <w:t>EES-nefndarinnar</w:t>
      </w:r>
      <w:proofErr w:type="spellEnd"/>
      <w:r w:rsidRPr="00DB43A6">
        <w:rPr>
          <w:b/>
          <w:bCs/>
          <w:szCs w:val="21"/>
        </w:rPr>
        <w:t xml:space="preserve"> </w:t>
      </w:r>
      <w:r w:rsidR="00DB43A6" w:rsidRPr="00DB43A6">
        <w:rPr>
          <w:b/>
          <w:bCs/>
          <w:szCs w:val="21"/>
        </w:rPr>
        <w:t xml:space="preserve">nr. 235/2020 </w:t>
      </w:r>
      <w:r w:rsidR="003D79DB">
        <w:rPr>
          <w:b/>
          <w:bCs/>
          <w:szCs w:val="21"/>
        </w:rPr>
        <w:t xml:space="preserve">frá 11. desember 2020 </w:t>
      </w:r>
      <w:r w:rsidR="00DB43A6" w:rsidRPr="00DB43A6">
        <w:rPr>
          <w:b/>
          <w:bCs/>
          <w:szCs w:val="21"/>
        </w:rPr>
        <w:t xml:space="preserve">um breytingu á </w:t>
      </w:r>
      <w:r w:rsidR="00DB43A6" w:rsidRPr="00DB43A6">
        <w:rPr>
          <w:b/>
          <w:bCs/>
        </w:rPr>
        <w:t>XXII. viðauka (Félagaréttur</w:t>
      </w:r>
      <w:r w:rsidRPr="00DB43A6">
        <w:rPr>
          <w:b/>
          <w:bCs/>
        </w:rPr>
        <w:t>)</w:t>
      </w:r>
      <w:r w:rsidR="00DB43A6" w:rsidRPr="00DB43A6">
        <w:rPr>
          <w:b/>
          <w:bCs/>
        </w:rPr>
        <w:t xml:space="preserve"> </w:t>
      </w:r>
      <w:r w:rsidRPr="00DB43A6">
        <w:rPr>
          <w:b/>
          <w:bCs/>
        </w:rPr>
        <w:t xml:space="preserve">við </w:t>
      </w:r>
      <w:proofErr w:type="spellStart"/>
      <w:r w:rsidRPr="00DB43A6">
        <w:rPr>
          <w:b/>
          <w:bCs/>
        </w:rPr>
        <w:t>EES-samninginn</w:t>
      </w:r>
      <w:proofErr w:type="spellEnd"/>
      <w:r w:rsidR="00555C78">
        <w:rPr>
          <w:b/>
          <w:bCs/>
        </w:rPr>
        <w:t>.</w:t>
      </w:r>
    </w:p>
    <w:p w14:paraId="484BF6C7" w14:textId="77777777" w:rsidR="00555C78" w:rsidRDefault="00555C78" w:rsidP="00713E19">
      <w:pPr>
        <w:ind w:firstLine="0"/>
        <w:jc w:val="center"/>
        <w:rPr>
          <w:b/>
          <w:bCs/>
        </w:rPr>
      </w:pPr>
    </w:p>
    <w:p w14:paraId="0DD7AE3E" w14:textId="6F54D0E5" w:rsidR="001E7429" w:rsidRPr="00D0299A" w:rsidRDefault="00555C78" w:rsidP="00555C78">
      <w:pPr>
        <w:ind w:firstLine="0"/>
        <w:jc w:val="center"/>
        <w:rPr>
          <w:b/>
          <w:bCs/>
        </w:rPr>
      </w:pPr>
      <w:proofErr w:type="spellStart"/>
      <w:r w:rsidRPr="00FD59A0">
        <w:rPr>
          <w:bCs/>
          <w:szCs w:val="21"/>
        </w:rPr>
        <w:t>www.althingi.is</w:t>
      </w:r>
      <w:proofErr w:type="spellEnd"/>
      <w:r w:rsidRPr="00FD59A0">
        <w:rPr>
          <w:bCs/>
          <w:szCs w:val="21"/>
        </w:rPr>
        <w:t>/</w:t>
      </w:r>
      <w:proofErr w:type="spellStart"/>
      <w:r w:rsidRPr="00FD59A0">
        <w:rPr>
          <w:bCs/>
          <w:szCs w:val="21"/>
        </w:rPr>
        <w:t>altext</w:t>
      </w:r>
      <w:proofErr w:type="spellEnd"/>
      <w:r w:rsidRPr="00FD59A0">
        <w:rPr>
          <w:bCs/>
          <w:szCs w:val="21"/>
        </w:rPr>
        <w:t>/</w:t>
      </w:r>
      <w:proofErr w:type="spellStart"/>
      <w:r w:rsidRPr="00FD59A0">
        <w:rPr>
          <w:bCs/>
          <w:szCs w:val="21"/>
        </w:rPr>
        <w:t>pdf</w:t>
      </w:r>
      <w:proofErr w:type="spellEnd"/>
      <w:r w:rsidRPr="00FD59A0">
        <w:rPr>
          <w:bCs/>
          <w:szCs w:val="21"/>
        </w:rPr>
        <w:t>/151/</w:t>
      </w:r>
      <w:proofErr w:type="spellStart"/>
      <w:r w:rsidRPr="00FD59A0">
        <w:rPr>
          <w:bCs/>
          <w:szCs w:val="21"/>
        </w:rPr>
        <w:t>fylgiskjol</w:t>
      </w:r>
      <w:proofErr w:type="spellEnd"/>
      <w:r w:rsidRPr="00FD59A0">
        <w:rPr>
          <w:bCs/>
          <w:szCs w:val="21"/>
        </w:rPr>
        <w:t>/s</w:t>
      </w:r>
      <w:r w:rsidR="00B243DF">
        <w:rPr>
          <w:bCs/>
          <w:szCs w:val="21"/>
        </w:rPr>
        <w:t>1163</w:t>
      </w:r>
      <w:r w:rsidRPr="00FD59A0">
        <w:rPr>
          <w:bCs/>
          <w:szCs w:val="21"/>
        </w:rPr>
        <w:t>-f</w:t>
      </w:r>
      <w:r w:rsidRPr="00775C2F">
        <w:rPr>
          <w:bCs/>
          <w:szCs w:val="21"/>
          <w:u w:val="single"/>
        </w:rPr>
        <w:t xml:space="preserve"> </w:t>
      </w:r>
      <w:proofErr w:type="spellStart"/>
      <w:r w:rsidRPr="00FD59A0">
        <w:rPr>
          <w:bCs/>
          <w:szCs w:val="21"/>
        </w:rPr>
        <w:t>I.pdf</w:t>
      </w:r>
      <w:proofErr w:type="spellEnd"/>
      <w:r w:rsidR="00EB7A92" w:rsidRPr="00DB43A6">
        <w:rPr>
          <w:b/>
          <w:bCs/>
          <w:szCs w:val="21"/>
        </w:rPr>
        <w:t xml:space="preserve"> </w:t>
      </w:r>
    </w:p>
    <w:p w14:paraId="2181F07B" w14:textId="77777777" w:rsidR="0003361A" w:rsidRPr="00713E19" w:rsidRDefault="0003361A" w:rsidP="00713E19">
      <w:pPr>
        <w:ind w:firstLine="0"/>
        <w:jc w:val="center"/>
        <w:rPr>
          <w:b/>
          <w:szCs w:val="21"/>
          <w:u w:val="single"/>
        </w:rPr>
      </w:pPr>
    </w:p>
    <w:p w14:paraId="7551BF21" w14:textId="29958014" w:rsidR="006243DD" w:rsidRDefault="006243DD" w:rsidP="00713E19">
      <w:pPr>
        <w:ind w:firstLine="0"/>
        <w:jc w:val="left"/>
        <w:rPr>
          <w:b/>
          <w:szCs w:val="21"/>
          <w:u w:val="single"/>
        </w:rPr>
      </w:pPr>
      <w:r w:rsidRPr="00713E19">
        <w:rPr>
          <w:b/>
          <w:szCs w:val="21"/>
          <w:u w:val="single"/>
        </w:rPr>
        <w:t>Fylgiskjal II</w:t>
      </w:r>
      <w:r w:rsidR="0003361A">
        <w:rPr>
          <w:b/>
          <w:szCs w:val="21"/>
          <w:u w:val="single"/>
        </w:rPr>
        <w:t>.</w:t>
      </w:r>
    </w:p>
    <w:p w14:paraId="675F4433" w14:textId="77777777" w:rsidR="00DB43A6" w:rsidRDefault="00DB43A6" w:rsidP="00713E19">
      <w:pPr>
        <w:ind w:firstLine="0"/>
        <w:jc w:val="left"/>
        <w:rPr>
          <w:b/>
          <w:szCs w:val="21"/>
          <w:u w:val="single"/>
        </w:rPr>
      </w:pPr>
    </w:p>
    <w:p w14:paraId="721E1433" w14:textId="39DD3B5E" w:rsidR="00DB43A6" w:rsidRDefault="00DB43A6" w:rsidP="00DB43A6">
      <w:pPr>
        <w:pStyle w:val="Fyrirsgn-undirfyrirsgn"/>
      </w:pPr>
      <w:r>
        <w:t>Tilskipun Evrópuþingsins og ráðsins (ESB) 2017/828 frá 17. maí 2017 um breytingu á tilskipun 2007/36/EB að því er varðar hvatningu til þátttöku hluthafa til lengri tíma.</w:t>
      </w:r>
    </w:p>
    <w:p w14:paraId="773B5804" w14:textId="3AAC8D9C" w:rsidR="00555C78" w:rsidRDefault="00555C78" w:rsidP="00555C78"/>
    <w:p w14:paraId="005C7B8F" w14:textId="541F8111" w:rsidR="00555C78" w:rsidRPr="00BD2F20" w:rsidRDefault="00555C78" w:rsidP="00555C78">
      <w:pPr>
        <w:ind w:firstLine="0"/>
        <w:jc w:val="center"/>
        <w:rPr>
          <w:b/>
          <w:bCs/>
        </w:rPr>
      </w:pPr>
      <w:proofErr w:type="spellStart"/>
      <w:r w:rsidRPr="00FD59A0">
        <w:rPr>
          <w:bCs/>
          <w:szCs w:val="21"/>
        </w:rPr>
        <w:t>www.althingi.is</w:t>
      </w:r>
      <w:proofErr w:type="spellEnd"/>
      <w:r w:rsidRPr="00FD59A0">
        <w:rPr>
          <w:bCs/>
          <w:szCs w:val="21"/>
        </w:rPr>
        <w:t>/</w:t>
      </w:r>
      <w:proofErr w:type="spellStart"/>
      <w:r w:rsidRPr="00FD59A0">
        <w:rPr>
          <w:bCs/>
          <w:szCs w:val="21"/>
        </w:rPr>
        <w:t>altext</w:t>
      </w:r>
      <w:proofErr w:type="spellEnd"/>
      <w:r w:rsidRPr="00FD59A0">
        <w:rPr>
          <w:bCs/>
          <w:szCs w:val="21"/>
        </w:rPr>
        <w:t>/</w:t>
      </w:r>
      <w:proofErr w:type="spellStart"/>
      <w:r w:rsidRPr="00FD59A0">
        <w:rPr>
          <w:bCs/>
          <w:szCs w:val="21"/>
        </w:rPr>
        <w:t>pdf</w:t>
      </w:r>
      <w:proofErr w:type="spellEnd"/>
      <w:r w:rsidRPr="00FD59A0">
        <w:rPr>
          <w:bCs/>
          <w:szCs w:val="21"/>
        </w:rPr>
        <w:t>/151/</w:t>
      </w:r>
      <w:proofErr w:type="spellStart"/>
      <w:r w:rsidRPr="00FD59A0">
        <w:rPr>
          <w:bCs/>
          <w:szCs w:val="21"/>
        </w:rPr>
        <w:t>fylgiskjol</w:t>
      </w:r>
      <w:proofErr w:type="spellEnd"/>
      <w:r w:rsidRPr="00FD59A0">
        <w:rPr>
          <w:bCs/>
          <w:szCs w:val="21"/>
        </w:rPr>
        <w:t>/s</w:t>
      </w:r>
      <w:r w:rsidR="00B243DF">
        <w:rPr>
          <w:bCs/>
          <w:szCs w:val="21"/>
        </w:rPr>
        <w:t>1163</w:t>
      </w:r>
      <w:r w:rsidRPr="00FD59A0">
        <w:rPr>
          <w:bCs/>
          <w:szCs w:val="21"/>
        </w:rPr>
        <w:t>-f</w:t>
      </w:r>
      <w:r w:rsidRPr="00775C2F">
        <w:rPr>
          <w:bCs/>
          <w:szCs w:val="21"/>
          <w:u w:val="single"/>
        </w:rPr>
        <w:t xml:space="preserve"> </w:t>
      </w:r>
      <w:proofErr w:type="spellStart"/>
      <w:r>
        <w:rPr>
          <w:bCs/>
          <w:szCs w:val="21"/>
          <w:u w:val="single"/>
        </w:rPr>
        <w:t>I</w:t>
      </w:r>
      <w:r w:rsidRPr="00FD59A0">
        <w:rPr>
          <w:bCs/>
          <w:szCs w:val="21"/>
        </w:rPr>
        <w:t>I.pdf</w:t>
      </w:r>
      <w:proofErr w:type="spellEnd"/>
    </w:p>
    <w:p w14:paraId="08C172C4" w14:textId="77777777" w:rsidR="00555C78" w:rsidRPr="00555C78" w:rsidRDefault="00555C78" w:rsidP="00D0299A"/>
    <w:p w14:paraId="2AC49611" w14:textId="31BAD5CC" w:rsidR="00E429F8" w:rsidRDefault="00E429F8"/>
    <w:sectPr w:rsidR="00E429F8" w:rsidSect="00213586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A88A" w14:textId="77777777" w:rsidR="00081C0E" w:rsidRDefault="00081C0E">
      <w:r>
        <w:separator/>
      </w:r>
    </w:p>
  </w:endnote>
  <w:endnote w:type="continuationSeparator" w:id="0">
    <w:p w14:paraId="7A73C568" w14:textId="77777777" w:rsidR="00081C0E" w:rsidRDefault="000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DF11" w14:textId="77777777" w:rsidR="00081C0E" w:rsidRDefault="00081C0E">
      <w:r>
        <w:separator/>
      </w:r>
    </w:p>
  </w:footnote>
  <w:footnote w:type="continuationSeparator" w:id="0">
    <w:p w14:paraId="146C595E" w14:textId="77777777" w:rsidR="00081C0E" w:rsidRDefault="0008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5BD7" w14:textId="5E9C49DD" w:rsidR="00213586" w:rsidRDefault="00213586" w:rsidP="00213586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0E6646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F608" w14:textId="5C82F816" w:rsidR="00213586" w:rsidRDefault="00213586" w:rsidP="00213586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140"/>
    <w:multiLevelType w:val="hybridMultilevel"/>
    <w:tmpl w:val="922664F6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D5D20"/>
    <w:multiLevelType w:val="hybridMultilevel"/>
    <w:tmpl w:val="8F58C638"/>
    <w:lvl w:ilvl="0" w:tplc="DD5CD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E728F"/>
    <w:multiLevelType w:val="hybridMultilevel"/>
    <w:tmpl w:val="702E1CE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67097A"/>
    <w:multiLevelType w:val="hybridMultilevel"/>
    <w:tmpl w:val="5A2A760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DD"/>
    <w:rsid w:val="00010FA2"/>
    <w:rsid w:val="00030981"/>
    <w:rsid w:val="0003361A"/>
    <w:rsid w:val="0004192D"/>
    <w:rsid w:val="000445E8"/>
    <w:rsid w:val="0007072A"/>
    <w:rsid w:val="00081C0E"/>
    <w:rsid w:val="00082AE9"/>
    <w:rsid w:val="00085B9D"/>
    <w:rsid w:val="000A7BBA"/>
    <w:rsid w:val="000B6DD0"/>
    <w:rsid w:val="000C58A0"/>
    <w:rsid w:val="000E3CDE"/>
    <w:rsid w:val="000E57CE"/>
    <w:rsid w:val="000E6646"/>
    <w:rsid w:val="000F6FF7"/>
    <w:rsid w:val="00145D78"/>
    <w:rsid w:val="0014751A"/>
    <w:rsid w:val="00174B04"/>
    <w:rsid w:val="001B633E"/>
    <w:rsid w:val="001D1972"/>
    <w:rsid w:val="001E7429"/>
    <w:rsid w:val="00213586"/>
    <w:rsid w:val="002235FF"/>
    <w:rsid w:val="0025598E"/>
    <w:rsid w:val="002863BB"/>
    <w:rsid w:val="002E04C6"/>
    <w:rsid w:val="0032792B"/>
    <w:rsid w:val="00371A83"/>
    <w:rsid w:val="00377828"/>
    <w:rsid w:val="00392BBC"/>
    <w:rsid w:val="003D79DB"/>
    <w:rsid w:val="003E7B8F"/>
    <w:rsid w:val="00416829"/>
    <w:rsid w:val="00424DAC"/>
    <w:rsid w:val="00426615"/>
    <w:rsid w:val="004325C3"/>
    <w:rsid w:val="00450871"/>
    <w:rsid w:val="004565FA"/>
    <w:rsid w:val="0046665D"/>
    <w:rsid w:val="004B1DA8"/>
    <w:rsid w:val="004B76C6"/>
    <w:rsid w:val="004B7E22"/>
    <w:rsid w:val="004C20F6"/>
    <w:rsid w:val="004E5535"/>
    <w:rsid w:val="004F2A0F"/>
    <w:rsid w:val="004F3711"/>
    <w:rsid w:val="005206AF"/>
    <w:rsid w:val="00524EC5"/>
    <w:rsid w:val="00544032"/>
    <w:rsid w:val="00550F24"/>
    <w:rsid w:val="00555C78"/>
    <w:rsid w:val="005960AE"/>
    <w:rsid w:val="005B1105"/>
    <w:rsid w:val="005B5C9B"/>
    <w:rsid w:val="005B68AA"/>
    <w:rsid w:val="005D19F1"/>
    <w:rsid w:val="005D7FCE"/>
    <w:rsid w:val="005E2DB1"/>
    <w:rsid w:val="005E61BC"/>
    <w:rsid w:val="006243DD"/>
    <w:rsid w:val="0063124A"/>
    <w:rsid w:val="006403A4"/>
    <w:rsid w:val="006478A1"/>
    <w:rsid w:val="006804E2"/>
    <w:rsid w:val="006A1461"/>
    <w:rsid w:val="006E0178"/>
    <w:rsid w:val="006E22CA"/>
    <w:rsid w:val="00713E19"/>
    <w:rsid w:val="00721AF7"/>
    <w:rsid w:val="007301BA"/>
    <w:rsid w:val="00734EF4"/>
    <w:rsid w:val="007811D7"/>
    <w:rsid w:val="007971A1"/>
    <w:rsid w:val="007B6443"/>
    <w:rsid w:val="007D1D45"/>
    <w:rsid w:val="007E068D"/>
    <w:rsid w:val="008150CD"/>
    <w:rsid w:val="008178DF"/>
    <w:rsid w:val="00821820"/>
    <w:rsid w:val="00822FA8"/>
    <w:rsid w:val="00834FBC"/>
    <w:rsid w:val="00861642"/>
    <w:rsid w:val="00872400"/>
    <w:rsid w:val="0087301B"/>
    <w:rsid w:val="008733F3"/>
    <w:rsid w:val="00877BDD"/>
    <w:rsid w:val="008811E4"/>
    <w:rsid w:val="00892214"/>
    <w:rsid w:val="008A2B17"/>
    <w:rsid w:val="008B56AC"/>
    <w:rsid w:val="008B5FF1"/>
    <w:rsid w:val="008C111A"/>
    <w:rsid w:val="008E1098"/>
    <w:rsid w:val="008E71AD"/>
    <w:rsid w:val="008F5F4D"/>
    <w:rsid w:val="009053CE"/>
    <w:rsid w:val="00915546"/>
    <w:rsid w:val="0092260C"/>
    <w:rsid w:val="0097345D"/>
    <w:rsid w:val="00985D38"/>
    <w:rsid w:val="009909C2"/>
    <w:rsid w:val="009D39AE"/>
    <w:rsid w:val="009D3E82"/>
    <w:rsid w:val="009F7BFD"/>
    <w:rsid w:val="00A2522E"/>
    <w:rsid w:val="00A27090"/>
    <w:rsid w:val="00A543A6"/>
    <w:rsid w:val="00A57E4A"/>
    <w:rsid w:val="00A83E67"/>
    <w:rsid w:val="00AE1DAA"/>
    <w:rsid w:val="00B243DF"/>
    <w:rsid w:val="00B252B3"/>
    <w:rsid w:val="00B321CE"/>
    <w:rsid w:val="00B40A92"/>
    <w:rsid w:val="00B560F6"/>
    <w:rsid w:val="00B85B41"/>
    <w:rsid w:val="00BA1870"/>
    <w:rsid w:val="00BB619A"/>
    <w:rsid w:val="00BC3A87"/>
    <w:rsid w:val="00BF5928"/>
    <w:rsid w:val="00BF6D2F"/>
    <w:rsid w:val="00BF7846"/>
    <w:rsid w:val="00C117FB"/>
    <w:rsid w:val="00C44B62"/>
    <w:rsid w:val="00C45C6D"/>
    <w:rsid w:val="00C61EA2"/>
    <w:rsid w:val="00C90E45"/>
    <w:rsid w:val="00CA69F0"/>
    <w:rsid w:val="00CA7E30"/>
    <w:rsid w:val="00CB7A16"/>
    <w:rsid w:val="00D0299A"/>
    <w:rsid w:val="00D07E7D"/>
    <w:rsid w:val="00D24160"/>
    <w:rsid w:val="00D33F9F"/>
    <w:rsid w:val="00D4296B"/>
    <w:rsid w:val="00DA79D0"/>
    <w:rsid w:val="00DB43A6"/>
    <w:rsid w:val="00DB6FF6"/>
    <w:rsid w:val="00DC1B2E"/>
    <w:rsid w:val="00E00283"/>
    <w:rsid w:val="00E05E7B"/>
    <w:rsid w:val="00E206F7"/>
    <w:rsid w:val="00E32C42"/>
    <w:rsid w:val="00E429F8"/>
    <w:rsid w:val="00E502B5"/>
    <w:rsid w:val="00E53214"/>
    <w:rsid w:val="00E548D3"/>
    <w:rsid w:val="00E63190"/>
    <w:rsid w:val="00E66B32"/>
    <w:rsid w:val="00E6776A"/>
    <w:rsid w:val="00E95BA0"/>
    <w:rsid w:val="00EA0602"/>
    <w:rsid w:val="00EA339A"/>
    <w:rsid w:val="00EB7A92"/>
    <w:rsid w:val="00F07AEF"/>
    <w:rsid w:val="00F44C09"/>
    <w:rsid w:val="00F47D94"/>
    <w:rsid w:val="00F5568B"/>
    <w:rsid w:val="00F60994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55D4"/>
  <w15:chartTrackingRefBased/>
  <w15:docId w15:val="{52049A57-F54B-41C6-8F76-6AB5550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D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-Greinarger">
    <w:name w:val="Fyrirsögn - Greinargerð"/>
    <w:basedOn w:val="Normal"/>
    <w:next w:val="Normal"/>
    <w:qFormat/>
    <w:rsid w:val="006243DD"/>
    <w:pPr>
      <w:ind w:firstLine="0"/>
      <w:jc w:val="center"/>
    </w:pPr>
    <w:rPr>
      <w:spacing w:val="44"/>
    </w:rPr>
  </w:style>
  <w:style w:type="paragraph" w:customStyle="1" w:styleId="Millifyrirsgn1">
    <w:name w:val="Millifyrirsögn 1"/>
    <w:basedOn w:val="Normal"/>
    <w:next w:val="Normal"/>
    <w:qFormat/>
    <w:rsid w:val="006243DD"/>
    <w:pPr>
      <w:ind w:firstLine="0"/>
    </w:pPr>
    <w:rPr>
      <w:b/>
    </w:rPr>
  </w:style>
  <w:style w:type="paragraph" w:customStyle="1" w:styleId="Fyrirsgn-skjalategund">
    <w:name w:val="Fyrirsögn - skjalategund"/>
    <w:basedOn w:val="Normal"/>
    <w:next w:val="Normal"/>
    <w:qFormat/>
    <w:rsid w:val="006243DD"/>
    <w:pPr>
      <w:spacing w:before="480" w:after="240"/>
      <w:ind w:firstLine="0"/>
      <w:jc w:val="center"/>
    </w:pPr>
    <w:rPr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6243DD"/>
    <w:pPr>
      <w:ind w:firstLine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24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DD"/>
    <w:rPr>
      <w:rFonts w:ascii="Times New Roman" w:eastAsia="Calibri" w:hAnsi="Times New Roman" w:cs="Times New Roman"/>
      <w:sz w:val="21"/>
    </w:rPr>
  </w:style>
  <w:style w:type="paragraph" w:customStyle="1" w:styleId="Nmeringsskjalsmls">
    <w:name w:val="Númer þings/skjals/máls"/>
    <w:basedOn w:val="Normal"/>
    <w:next w:val="Normal"/>
    <w:qFormat/>
    <w:rsid w:val="006243DD"/>
    <w:pPr>
      <w:ind w:firstLine="0"/>
    </w:pPr>
    <w:rPr>
      <w:b/>
    </w:rPr>
  </w:style>
  <w:style w:type="paragraph" w:customStyle="1" w:styleId="Frrherra">
    <w:name w:val="Frá ...ráðherra"/>
    <w:basedOn w:val="Normal"/>
    <w:next w:val="Normal"/>
    <w:qFormat/>
    <w:rsid w:val="006243DD"/>
    <w:pPr>
      <w:ind w:firstLine="0"/>
      <w:jc w:val="center"/>
    </w:pPr>
    <w:rPr>
      <w:rFonts w:eastAsia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6243DD"/>
    <w:pPr>
      <w:ind w:left="720"/>
      <w:contextualSpacing/>
    </w:pPr>
  </w:style>
  <w:style w:type="character" w:customStyle="1" w:styleId="details">
    <w:name w:val="details"/>
    <w:basedOn w:val="DefaultParagraphFont"/>
    <w:rsid w:val="002863BB"/>
  </w:style>
  <w:style w:type="character" w:styleId="CommentReference">
    <w:name w:val="annotation reference"/>
    <w:basedOn w:val="DefaultParagraphFont"/>
    <w:uiPriority w:val="99"/>
    <w:semiHidden/>
    <w:unhideWhenUsed/>
    <w:rsid w:val="00A27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9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9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9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D3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0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DC1B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2E"/>
    <w:rPr>
      <w:rFonts w:ascii="Times New Roman" w:eastAsia="Calibri" w:hAnsi="Times New Roman" w:cs="Times New Roman"/>
      <w:sz w:val="21"/>
    </w:rPr>
  </w:style>
  <w:style w:type="paragraph" w:customStyle="1" w:styleId="19345MainTitle">
    <w:name w:val="19345_MainTitle"/>
    <w:basedOn w:val="Normal"/>
    <w:qFormat/>
    <w:rsid w:val="006804E2"/>
    <w:pPr>
      <w:keepNext/>
      <w:suppressAutoHyphens/>
      <w:spacing w:after="120" w:line="240" w:lineRule="exact"/>
      <w:ind w:firstLine="0"/>
      <w:jc w:val="center"/>
      <w:outlineLvl w:val="2"/>
    </w:pPr>
    <w:rPr>
      <w:rFonts w:eastAsiaTheme="minorHAnsi" w:cstheme="minorBidi"/>
      <w:b/>
      <w:sz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F21B-A499-4D8F-9AE4-25B855A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Gautur Sturluson</dc:creator>
  <cp:keywords/>
  <dc:description/>
  <cp:lastModifiedBy>Bryndís Samúelsdóttir</cp:lastModifiedBy>
  <cp:revision>2</cp:revision>
  <cp:lastPrinted>2021-03-05T09:44:00Z</cp:lastPrinted>
  <dcterms:created xsi:type="dcterms:W3CDTF">2021-03-29T13:46:00Z</dcterms:created>
  <dcterms:modified xsi:type="dcterms:W3CDTF">2021-03-29T13:46:00Z</dcterms:modified>
</cp:coreProperties>
</file>